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1C964"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黑体" w:hAnsi="黑体" w:eastAsia="黑体" w:cs="黑体"/>
          <w:snapToGrid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shd w:val="clear" w:color="auto" w:fill="FFFFFF"/>
        </w:rPr>
        <w:t>附件</w:t>
      </w:r>
    </w:p>
    <w:p w14:paraId="2577EFB7"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黑体" w:hAnsi="黑体" w:eastAsia="黑体" w:cs="黑体"/>
          <w:snapToGrid w:val="0"/>
          <w:color w:val="000000"/>
          <w:sz w:val="32"/>
          <w:szCs w:val="32"/>
          <w:shd w:val="clear" w:color="auto" w:fill="FFFFFF"/>
        </w:rPr>
      </w:pPr>
    </w:p>
    <w:p w14:paraId="5DB379E5">
      <w:pPr>
        <w:pStyle w:val="4"/>
        <w:widowControl w:val="0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hAnsi="方正小标宋简体" w:eastAsia="方正小标宋_GBK" w:cs="方正小标宋简体"/>
          <w:snapToGrid w:val="0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简体" w:eastAsia="方正小标宋_GBK" w:cs="方正小标宋简体"/>
          <w:snapToGrid w:val="0"/>
          <w:color w:val="000000"/>
          <w:sz w:val="44"/>
          <w:szCs w:val="44"/>
          <w:shd w:val="clear" w:color="auto" w:fill="FFFFFF"/>
        </w:rPr>
        <w:t>《吴江区“十四五”期间农村客运补贴和</w:t>
      </w:r>
    </w:p>
    <w:p w14:paraId="45BE73A1">
      <w:pPr>
        <w:pStyle w:val="4"/>
        <w:widowControl w:val="0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hAnsi="方正小标宋简体" w:eastAsia="方正小标宋_GBK" w:cs="方正小标宋简体"/>
          <w:snapToGrid w:val="0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简体" w:eastAsia="方正小标宋_GBK" w:cs="方正小标宋简体"/>
          <w:snapToGrid w:val="0"/>
          <w:color w:val="000000"/>
          <w:sz w:val="44"/>
          <w:szCs w:val="44"/>
          <w:shd w:val="clear" w:color="auto" w:fill="FFFFFF"/>
        </w:rPr>
        <w:t>城市交通发展奖励资金使用管理实施</w:t>
      </w:r>
    </w:p>
    <w:p w14:paraId="37E32794">
      <w:pPr>
        <w:pStyle w:val="4"/>
        <w:widowControl w:val="0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hAnsi="小标宋" w:eastAsia="方正小标宋_GBK" w:cs="小标宋"/>
          <w:snapToGrid w:val="0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napToGrid w:val="0"/>
          <w:color w:val="000000"/>
          <w:sz w:val="44"/>
          <w:szCs w:val="44"/>
          <w:shd w:val="clear" w:color="auto" w:fill="FFFFFF"/>
        </w:rPr>
        <w:t>细则（试行）》实施后评估报告</w:t>
      </w:r>
    </w:p>
    <w:p w14:paraId="23A5E08C"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napToGrid w:val="0"/>
          <w:color w:val="000000"/>
          <w:sz w:val="32"/>
          <w:szCs w:val="32"/>
        </w:rPr>
      </w:pPr>
    </w:p>
    <w:p w14:paraId="08877CB9">
      <w:pPr>
        <w:pStyle w:val="4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为进一步加强行政规范性文件的管理，全面掌握《</w:t>
      </w:r>
      <w:bookmarkStart w:id="0" w:name="OLE_LINK1"/>
      <w:bookmarkStart w:id="1" w:name="OLE_LINK2"/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吴江区“十四五”期间农村客运补贴和城市交通发展奖励资金使用管理实施细则（试行）</w:t>
      </w:r>
      <w:bookmarkEnd w:id="0"/>
      <w:bookmarkEnd w:id="1"/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》实施一年以来的相关情况，区交通运输局按照</w:t>
      </w:r>
      <w:r>
        <w:rPr>
          <w:rFonts w:ascii="仿宋_GB2312" w:hAnsi="仿宋" w:eastAsia="仿宋_GB2312" w:cs="仿宋_GB2312"/>
          <w:snapToGrid w:val="0"/>
          <w:color w:val="000000"/>
          <w:sz w:val="32"/>
          <w:szCs w:val="32"/>
          <w:shd w:val="clear" w:color="auto" w:fill="FFFFFF"/>
        </w:rPr>
        <w:t>《关于印发</w:t>
      </w:r>
      <w:r>
        <w:rPr>
          <w:rFonts w:hint="eastAsia" w:ascii="仿宋_GB2312" w:hAnsi="仿宋" w:eastAsia="仿宋_GB2312" w:cs="仿宋_GB2312"/>
          <w:snapToGrid w:val="0"/>
          <w:color w:val="000000"/>
          <w:sz w:val="32"/>
          <w:szCs w:val="32"/>
          <w:shd w:val="clear" w:color="auto" w:fill="FFFFFF"/>
        </w:rPr>
        <w:t>2025年度行政规范性文件实施后评估工作计划的通知》（吴司通字〔2025〕23号）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对由区交通运输局起草印发并实施已满一年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的《吴江区“十四五”期间农村客运补贴和城市交通发展奖励资金使用管理实施细则（试行）》（吴交规〔2023〕1号）（以下简称《细则》）开展实施情况后评估。形成实施后评估报告如下：</w:t>
      </w:r>
    </w:p>
    <w:p w14:paraId="436FB64B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一、前言</w:t>
      </w:r>
    </w:p>
    <w:p w14:paraId="70B5D211">
      <w:pPr>
        <w:pStyle w:val="4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为规范资金的使用管理，确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保农村客运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持续健康稳定发展，推进城市交通领域新能源汽车应用，根据《财政部交通运输部关于调整农村客运、出租车油价补贴政策的通知》（财建〔2022〕1号）、《江苏省农村客运补贴和城市交通发展奖励资金管理办法》（苏财建〔2022〕83号）等，结合吴江区实际，制定了本《细则》。</w:t>
      </w:r>
    </w:p>
    <w:p w14:paraId="6F40B7F4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二、评估依据</w:t>
      </w:r>
    </w:p>
    <w:p w14:paraId="2C6A792B">
      <w:pPr>
        <w:pStyle w:val="4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1.《江苏省行政规范性文件管理规定》（省政府令第158号）；</w:t>
      </w:r>
    </w:p>
    <w:p w14:paraId="0341D8AD">
      <w:pPr>
        <w:pStyle w:val="4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2.《苏州市行政规范性文件制定和监督管理规定》（苏州市人民政府令第148号）；</w:t>
      </w:r>
    </w:p>
    <w:p w14:paraId="4F3553F1">
      <w:pPr>
        <w:pStyle w:val="4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  <w:t>3.其他有关规范性文件管理的法律法规和规章等。</w:t>
      </w:r>
    </w:p>
    <w:p w14:paraId="382841F6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三、评估机制和方法</w:t>
      </w:r>
    </w:p>
    <w:p w14:paraId="6B11E0F4">
      <w:pPr>
        <w:pStyle w:val="4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sz w:val="32"/>
          <w:szCs w:val="32"/>
        </w:rPr>
        <w:t>本次规范性文件后评估工作采用自行评估方式，主要对《细则》实施后学习宣传、配套制度建设情况、落实情况和实施中取得的效果、存在的问题，以及对策建议等方面开展综合评估，形成实施后评估报告。</w:t>
      </w:r>
    </w:p>
    <w:p w14:paraId="29E13471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bCs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napToGrid w:val="0"/>
          <w:kern w:val="0"/>
          <w:sz w:val="32"/>
          <w:szCs w:val="32"/>
        </w:rPr>
        <w:t>四、评估情况</w:t>
      </w:r>
    </w:p>
    <w:p w14:paraId="5636DB0D">
      <w:pPr>
        <w:adjustRightInd w:val="0"/>
        <w:snapToGrid w:val="0"/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napToGrid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kern w:val="0"/>
          <w:sz w:val="32"/>
          <w:szCs w:val="32"/>
        </w:rPr>
        <w:t>（一）行政规范性文件颁布后学习宣传、配套制度建设情况</w:t>
      </w:r>
    </w:p>
    <w:p w14:paraId="72EA9EA6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1.学习宣传情况。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一是根据《细则》第十条要求，区交通运输局每年组织开展政策宣贯活动，通过专题会议、培训讲座等形式向客运、公交、出租等企业传达文件精神，确保相关单位全面理解政策目标和申报流程。二是通过吴江区人民政府官网、吴江交通公众号等渠道，及时向社会公开《细则》全文、资金分配结果及管理制度，接受社会监督。</w:t>
      </w:r>
    </w:p>
    <w:p w14:paraId="46E7CD6D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2.配套制度建设情况。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一是细化操作流程，结合《细则》制定8类补贴申请表模板及填报说明，明确申报材料要求和审核标准。二是建立协同工作机制，建立区交通运输局牵头、财政局协同的联合机制，确保资金申报、审核、发放全流程规范高效，委托会计师事务所对大额资金发放后的效果进行审计。三是推动信用管理联动，依据《江苏省交通运输行业信用管理办法》，将企业信用记录与补贴资格挂钩，对存在失信行为且未修复的企业取消申报资格，强化政策执行的刚性约束。</w:t>
      </w:r>
    </w:p>
    <w:p w14:paraId="34974432">
      <w:pPr>
        <w:adjustRightInd w:val="0"/>
        <w:snapToGrid w:val="0"/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napToGrid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kern w:val="0"/>
          <w:sz w:val="32"/>
          <w:szCs w:val="32"/>
        </w:rPr>
        <w:t>（二）行政规范性文件内容的落实情况和实施中取得的效果</w:t>
      </w:r>
    </w:p>
    <w:p w14:paraId="24861394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1.落实情况</w:t>
      </w:r>
      <w:bookmarkStart w:id="2" w:name="OLE_LINK11"/>
      <w:bookmarkStart w:id="3" w:name="OLE_LINK12"/>
      <w:bookmarkStart w:id="4" w:name="OLE_LINK15"/>
      <w:bookmarkStart w:id="5" w:name="OLE_LINK14"/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根据上级文件要求，</w:t>
      </w:r>
      <w:r>
        <w:rPr>
          <w:rFonts w:hint="eastAsia" w:ascii="仿宋_GB2312" w:hAnsi="仿宋_GB2312" w:eastAsia="仿宋_GB2312" w:cs="仿宋_GB2312"/>
          <w:bCs/>
          <w:snapToGrid w:val="0"/>
          <w:color w:val="000000"/>
          <w:kern w:val="0"/>
          <w:sz w:val="32"/>
          <w:szCs w:val="32"/>
        </w:rPr>
        <w:t>吴江区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农村客运补贴资金费改税部分直接发放给农村客运经营者，涨价部分主要用于支持农村地区客运发展，提升农村地区客运普遍服务能力。城市交通发展奖励资金费改税部分直接发放给巡游出租车经营者，涨价部分的30%用于支持出租车加快电动化，70%用于支持城市交通领域新能源汽车推广及应用。</w:t>
      </w:r>
    </w:p>
    <w:bookmarkEnd w:id="2"/>
    <w:bookmarkEnd w:id="3"/>
    <w:bookmarkEnd w:id="4"/>
    <w:bookmarkEnd w:id="5"/>
    <w:p w14:paraId="23713B15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2.实施效果情况。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农村客运服务能力提升，吴江区共有建制村210个，通客车率自2012年起保持100%。吴江区已实现全域城乡公交一体化，农村地区公交通达率100%。行业转型升级加速，通过客货邮融合奖补，助推农村物流综合服务网点升级，推动公交车辆代运快递，降低物流成本。新能源推广成效显著，“十四五”以来城市交通发展奖励资金的70%用于新能源汽车推广，</w:t>
      </w:r>
      <w:r>
        <w:rPr>
          <w:rFonts w:hint="eastAsia" w:ascii="仿宋_GB2312" w:hAnsi="Times New Roman" w:eastAsia="仿宋_GB2312" w:cs="Times New Roman"/>
          <w:bCs/>
          <w:snapToGrid w:val="0"/>
          <w:kern w:val="0"/>
          <w:sz w:val="32"/>
          <w:szCs w:val="32"/>
        </w:rPr>
        <w:t>共更新136辆巡游出租车、410辆公交车，100%为新能源车型，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有效实现绿色减排。</w:t>
      </w:r>
    </w:p>
    <w:p w14:paraId="2248B7EC">
      <w:pPr>
        <w:adjustRightInd w:val="0"/>
        <w:snapToGrid w:val="0"/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napToGrid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kern w:val="0"/>
          <w:sz w:val="32"/>
          <w:szCs w:val="32"/>
        </w:rPr>
        <w:t>（三）执行中存在的问题和建议</w:t>
      </w:r>
    </w:p>
    <w:p w14:paraId="53472AAE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1.存在问题。</w:t>
      </w:r>
      <w:r>
        <w:rPr>
          <w:rFonts w:hint="eastAsia" w:ascii="仿宋_GB2312" w:eastAsia="仿宋_GB2312"/>
          <w:bCs/>
          <w:snapToGrid w:val="0"/>
          <w:kern w:val="0"/>
          <w:sz w:val="32"/>
          <w:szCs w:val="32"/>
        </w:rPr>
        <w:t>部分企业对《细则》的理解和执行不够到位，存在提交材料部分信息未及时更新、数据有误等问题。</w:t>
      </w:r>
    </w:p>
    <w:p w14:paraId="49806AE4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2.改进建议。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（1）进一步加强对企业“一对一”精准服务指导工作，提高企业相关业务人员对《细则》的认识和理解，确保政策执行的一致性和有效性；（2）审核材料业务人员进一步强化审核力度，确保及时发现企业提交材料中存在的问题，并对业务经办人员实施精准指导，以保障审核流程的规范性和高效性。</w:t>
      </w:r>
    </w:p>
    <w:p w14:paraId="242DE8C8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bCs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napToGrid w:val="0"/>
          <w:kern w:val="0"/>
          <w:sz w:val="32"/>
          <w:szCs w:val="32"/>
        </w:rPr>
        <w:t>五、评估总结</w:t>
      </w:r>
    </w:p>
    <w:p w14:paraId="30D7EB2A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综合来看，《吴江区“十四五”期间农村客运补贴和城市交通发展奖励资金使用管理实施细则（试行）》实施一年以来，已经取得了初步的成功，尤其是在促进农村客运高质量发展和转型升级、维护出租车行业稳定、优先发展城市公共交通、落实节能减排任务等方面展示出积极的影响。然而，评估过程中也指出了一些需要改进的方面，特别是申报企业如何更规范地提交材料的问题，这些反馈将作为调整和优化《细则》的重要参考。后续，区交通运输局将持续不断地监督评估《细则》的实施情况，并根据实际效果制定相应的改进措施，确保《细则》能够更有效地服务于吴江区交通运输高质量发展目标。</w:t>
      </w:r>
    </w:p>
    <w:p w14:paraId="41AEF725">
      <w:pPr>
        <w:rPr>
          <w:rFonts w:ascii="宋体" w:hAnsi="宋体" w:eastAsia="宋体" w:cs="宋体"/>
          <w:sz w:val="22"/>
        </w:rPr>
      </w:pPr>
    </w:p>
    <w:p w14:paraId="66D36EFD">
      <w:pPr>
        <w:rPr>
          <w:rFonts w:ascii="宋体" w:hAnsi="宋体" w:eastAsia="宋体" w:cs="宋体"/>
          <w:sz w:val="22"/>
        </w:rPr>
      </w:pPr>
    </w:p>
    <w:p w14:paraId="2BCA8175">
      <w:pPr>
        <w:spacing w:line="240" w:lineRule="exact"/>
        <w:rPr>
          <w:rFonts w:ascii="宋体" w:hAnsi="宋体" w:eastAsia="宋体" w:cs="宋体"/>
          <w:sz w:val="22"/>
        </w:rPr>
      </w:pPr>
    </w:p>
    <w:p w14:paraId="11037710">
      <w:pPr>
        <w:spacing w:line="240" w:lineRule="exact"/>
        <w:rPr>
          <w:rFonts w:ascii="宋体" w:hAnsi="宋体" w:eastAsia="宋体" w:cs="宋体"/>
          <w:sz w:val="22"/>
        </w:rPr>
      </w:pPr>
    </w:p>
    <w:p w14:paraId="36B14093">
      <w:pPr>
        <w:autoSpaceDE w:val="0"/>
        <w:snapToGrid w:val="0"/>
        <w:spacing w:line="560" w:lineRule="exact"/>
        <w:ind w:left="210" w:leftChars="100" w:right="210" w:rightChars="100"/>
        <w:jc w:val="left"/>
        <w:rPr>
          <w:rFonts w:ascii="Calibri" w:hAnsi="Calibri" w:eastAsia="宋体" w:cs="Times New Roman"/>
          <w:color w:val="000000"/>
          <w:szCs w:val="24"/>
        </w:rPr>
      </w:pPr>
      <w:bookmarkStart w:id="6" w:name="_GoBack"/>
      <w:bookmarkEnd w:id="6"/>
    </w:p>
    <w:sectPr>
      <w:footerReference r:id="rId3" w:type="default"/>
      <w:footerReference r:id="rId4" w:type="even"/>
      <w:pgSz w:w="11906" w:h="16838"/>
      <w:pgMar w:top="2098" w:right="1474" w:bottom="1985" w:left="1588" w:header="851" w:footer="138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591A1">
    <w:pPr>
      <w:pStyle w:val="2"/>
      <w:autoSpaceDE w:val="0"/>
      <w:autoSpaceDN w:val="0"/>
      <w:spacing w:line="400" w:lineRule="atLeast"/>
      <w:ind w:left="210" w:leftChars="100" w:right="210" w:rightChars="100"/>
      <w:jc w:val="right"/>
      <w:rPr>
        <w:rFonts w:ascii="宋体" w:hAnsi="宋体" w:eastAsia="宋体" w:cs="Times New Roman"/>
        <w:snapToGrid w:val="0"/>
        <w:kern w:val="0"/>
        <w:sz w:val="28"/>
        <w:szCs w:val="21"/>
      </w:rPr>
    </w:pPr>
    <w:r>
      <w:rPr>
        <w:rFonts w:ascii="宋体" w:hAnsi="宋体" w:eastAsia="宋体" w:cs="Times New Roman"/>
        <w:snapToGrid w:val="0"/>
        <w:kern w:val="0"/>
        <w:sz w:val="28"/>
        <w:szCs w:val="21"/>
      </w:rPr>
      <w:t xml:space="preserve">- </w:t>
    </w:r>
    <w:r>
      <w:rPr>
        <w:rFonts w:ascii="宋体" w:hAnsi="宋体" w:eastAsia="宋体" w:cs="Times New Roman"/>
        <w:snapToGrid w:val="0"/>
        <w:kern w:val="0"/>
        <w:sz w:val="28"/>
        <w:szCs w:val="21"/>
      </w:rPr>
      <w:fldChar w:fldCharType="begin"/>
    </w:r>
    <w:r>
      <w:rPr>
        <w:rFonts w:ascii="宋体" w:hAnsi="宋体" w:eastAsia="宋体" w:cs="Times New Roman"/>
        <w:snapToGrid w:val="0"/>
        <w:kern w:val="0"/>
        <w:sz w:val="28"/>
        <w:szCs w:val="21"/>
      </w:rPr>
      <w:instrText xml:space="preserve"> PAGE </w:instrText>
    </w:r>
    <w:r>
      <w:rPr>
        <w:rFonts w:ascii="宋体" w:hAnsi="宋体" w:eastAsia="宋体" w:cs="Times New Roman"/>
        <w:snapToGrid w:val="0"/>
        <w:kern w:val="0"/>
        <w:sz w:val="28"/>
        <w:szCs w:val="21"/>
      </w:rPr>
      <w:fldChar w:fldCharType="separate"/>
    </w:r>
    <w:r>
      <w:rPr>
        <w:rFonts w:ascii="宋体" w:hAnsi="宋体" w:eastAsia="宋体" w:cs="Times New Roman"/>
        <w:snapToGrid w:val="0"/>
        <w:kern w:val="0"/>
        <w:sz w:val="28"/>
        <w:szCs w:val="21"/>
      </w:rPr>
      <w:t>5</w:t>
    </w:r>
    <w:r>
      <w:rPr>
        <w:rFonts w:ascii="宋体" w:hAnsi="宋体" w:eastAsia="宋体" w:cs="Times New Roman"/>
        <w:snapToGrid w:val="0"/>
        <w:kern w:val="0"/>
        <w:sz w:val="28"/>
        <w:szCs w:val="21"/>
      </w:rPr>
      <w:fldChar w:fldCharType="end"/>
    </w:r>
    <w:r>
      <w:rPr>
        <w:rFonts w:ascii="宋体" w:hAnsi="宋体" w:eastAsia="宋体" w:cs="Times New Roman"/>
        <w:snapToGrid w:val="0"/>
        <w:kern w:val="0"/>
        <w:sz w:val="28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C6BF4">
    <w:pPr>
      <w:pStyle w:val="2"/>
      <w:autoSpaceDE w:val="0"/>
      <w:autoSpaceDN w:val="0"/>
      <w:spacing w:line="400" w:lineRule="atLeast"/>
      <w:ind w:left="210" w:leftChars="100" w:right="210" w:rightChars="100"/>
      <w:rPr>
        <w:rFonts w:ascii="宋体" w:hAnsi="宋体" w:eastAsia="宋体" w:cs="Times New Roman"/>
        <w:snapToGrid w:val="0"/>
        <w:kern w:val="0"/>
        <w:sz w:val="28"/>
        <w:szCs w:val="21"/>
      </w:rPr>
    </w:pPr>
    <w:r>
      <w:rPr>
        <w:rFonts w:ascii="宋体" w:hAnsi="宋体" w:eastAsia="宋体" w:cs="Times New Roman"/>
        <w:snapToGrid w:val="0"/>
        <w:kern w:val="0"/>
        <w:sz w:val="28"/>
        <w:szCs w:val="21"/>
      </w:rPr>
      <w:t xml:space="preserve">- </w:t>
    </w:r>
    <w:r>
      <w:rPr>
        <w:rFonts w:ascii="宋体" w:hAnsi="宋体" w:eastAsia="宋体" w:cs="Times New Roman"/>
        <w:snapToGrid w:val="0"/>
        <w:kern w:val="0"/>
        <w:sz w:val="28"/>
        <w:szCs w:val="21"/>
      </w:rPr>
      <w:fldChar w:fldCharType="begin"/>
    </w:r>
    <w:r>
      <w:rPr>
        <w:rFonts w:ascii="宋体" w:hAnsi="宋体" w:eastAsia="宋体" w:cs="Times New Roman"/>
        <w:snapToGrid w:val="0"/>
        <w:kern w:val="0"/>
        <w:sz w:val="28"/>
        <w:szCs w:val="21"/>
      </w:rPr>
      <w:instrText xml:space="preserve"> PAGE </w:instrText>
    </w:r>
    <w:r>
      <w:rPr>
        <w:rFonts w:ascii="宋体" w:hAnsi="宋体" w:eastAsia="宋体" w:cs="Times New Roman"/>
        <w:snapToGrid w:val="0"/>
        <w:kern w:val="0"/>
        <w:sz w:val="28"/>
        <w:szCs w:val="21"/>
      </w:rPr>
      <w:fldChar w:fldCharType="separate"/>
    </w:r>
    <w:r>
      <w:rPr>
        <w:rFonts w:ascii="宋体" w:hAnsi="宋体" w:eastAsia="宋体" w:cs="Times New Roman"/>
        <w:snapToGrid w:val="0"/>
        <w:kern w:val="0"/>
        <w:sz w:val="28"/>
        <w:szCs w:val="21"/>
      </w:rPr>
      <w:t>6</w:t>
    </w:r>
    <w:r>
      <w:rPr>
        <w:rFonts w:ascii="宋体" w:hAnsi="宋体" w:eastAsia="宋体" w:cs="Times New Roman"/>
        <w:snapToGrid w:val="0"/>
        <w:kern w:val="0"/>
        <w:sz w:val="28"/>
        <w:szCs w:val="21"/>
      </w:rPr>
      <w:fldChar w:fldCharType="end"/>
    </w:r>
    <w:r>
      <w:rPr>
        <w:rFonts w:ascii="宋体" w:hAnsi="宋体" w:eastAsia="宋体" w:cs="Times New Roman"/>
        <w:snapToGrid w:val="0"/>
        <w:kern w:val="0"/>
        <w:sz w:val="28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FF"/>
    <w:rsid w:val="000812C4"/>
    <w:rsid w:val="000C77FF"/>
    <w:rsid w:val="00121434"/>
    <w:rsid w:val="001656DD"/>
    <w:rsid w:val="0017244A"/>
    <w:rsid w:val="001D27A9"/>
    <w:rsid w:val="003A4AD4"/>
    <w:rsid w:val="003E15A8"/>
    <w:rsid w:val="00437DAF"/>
    <w:rsid w:val="00557B55"/>
    <w:rsid w:val="0056225D"/>
    <w:rsid w:val="005729E5"/>
    <w:rsid w:val="006109D2"/>
    <w:rsid w:val="00636FE0"/>
    <w:rsid w:val="006D28EE"/>
    <w:rsid w:val="00773644"/>
    <w:rsid w:val="00801DDC"/>
    <w:rsid w:val="008A68FB"/>
    <w:rsid w:val="008C58EC"/>
    <w:rsid w:val="008E7FF4"/>
    <w:rsid w:val="00924F8C"/>
    <w:rsid w:val="009A578F"/>
    <w:rsid w:val="00AB3902"/>
    <w:rsid w:val="00B43776"/>
    <w:rsid w:val="00B50C1A"/>
    <w:rsid w:val="00B5165C"/>
    <w:rsid w:val="00B82973"/>
    <w:rsid w:val="00BC1EFF"/>
    <w:rsid w:val="00C204B2"/>
    <w:rsid w:val="00C31C1E"/>
    <w:rsid w:val="00C41B27"/>
    <w:rsid w:val="00C54629"/>
    <w:rsid w:val="00D262DD"/>
    <w:rsid w:val="00D63EA4"/>
    <w:rsid w:val="00D64B1F"/>
    <w:rsid w:val="00D92598"/>
    <w:rsid w:val="00DD0382"/>
    <w:rsid w:val="00DE6993"/>
    <w:rsid w:val="00E96217"/>
    <w:rsid w:val="00EC33DD"/>
    <w:rsid w:val="00ED4D07"/>
    <w:rsid w:val="00EE714B"/>
    <w:rsid w:val="00EF3733"/>
    <w:rsid w:val="00F17695"/>
    <w:rsid w:val="00F82CEC"/>
    <w:rsid w:val="00F92DD7"/>
    <w:rsid w:val="00FB3A00"/>
    <w:rsid w:val="00FC4C11"/>
    <w:rsid w:val="045A1356"/>
    <w:rsid w:val="0BED2710"/>
    <w:rsid w:val="1F3818D8"/>
    <w:rsid w:val="290C07F0"/>
    <w:rsid w:val="2A9479F2"/>
    <w:rsid w:val="37E72553"/>
    <w:rsid w:val="3A9B1C16"/>
    <w:rsid w:val="46715CDF"/>
    <w:rsid w:val="4E923A26"/>
    <w:rsid w:val="4F850C41"/>
    <w:rsid w:val="658E3D60"/>
    <w:rsid w:val="67180834"/>
    <w:rsid w:val="75DD55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character" w:customStyle="1" w:styleId="8">
    <w:name w:val="页眉 Char"/>
    <w:basedOn w:val="6"/>
    <w:link w:val="3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a810b2fb-dbd0-4536-a109-83646aa6b237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1B9F8DAA</paraID>
      <start>8</start>
      <end>9</end>
      <status>ignored</status>
      <modifiedWord/>
      <trackRevisions>false</trackRevisions>
    </reviewItem>
    <reviewItem>
      <errorID>4b961bc1-7221-42b8-9428-b4afa9b2b261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77B92DD9</paraID>
      <start>10</start>
      <end>11</end>
      <status>ignored</status>
      <modifiedWord/>
      <trackRevisions>false</trackRevisions>
    </reviewItem>
    <reviewItem>
      <errorID>e0d69409-1f60-4ec1-9885-ece836703836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5ED4AF05</paraID>
      <start>6</start>
      <end>7</end>
      <status>ignored</status>
      <modifiedWord/>
      <trackRevisions>false</trackRevisions>
    </reviewItem>
    <reviewItem>
      <errorID>b676a55c-ac75-4e52-8cf3-a17763eb1c74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3BA809B8</paraID>
      <start>8</start>
      <end>9</end>
      <status>ignored</status>
      <modifiedWord/>
      <trackRevisions>false</trackRevisions>
    </reviewItem>
    <reviewItem>
      <errorID>1cfe58e3-9240-4a4d-b9f3-2f43c8e611fe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46C8470E</paraID>
      <start>6</start>
      <end>7</end>
      <status>ignored</status>
      <modifiedWord/>
      <trackRevisions>false</trackRevisions>
    </reviewItem>
    <reviewItem>
      <errorID>41fa7cab-18a5-4689-b51a-bd714cb297e7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74CC7B00</paraID>
      <start>6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DA59863-F5A5-4401-B31E-781523765C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2165</Words>
  <Characters>2240</Characters>
  <Lines>16</Lines>
  <Paragraphs>4</Paragraphs>
  <TotalTime>29</TotalTime>
  <ScaleCrop>false</ScaleCrop>
  <LinksUpToDate>false</LinksUpToDate>
  <CharactersWithSpaces>2315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2025-10-30T07:23:00Z</dcterms:created>
  <dc:creator>ygc</dc:creator>
  <cp:lastModifiedBy>Administrator</cp:lastModifiedBy>
  <dcterms:modified xsi:type="dcterms:W3CDTF">2025-11-21T05:21:45Z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eyJoZGlkIjoiZjcwOTQ5N2ExNDg2MmIxZjFiNDE0OTNiZWVlZjdkNjYiLCJ1c2VySWQiOiIxMjAyNDAxNzUzIn0=</vt:lpwstr>
  </property>
  <property fmtid="{D5CDD505-2E9C-101B-9397-08002B2CF9AE}" pid="3" name="KSOProductBuildVer">
    <vt:lpwstr>2052-12.1.0.23542</vt:lpwstr>
  </property>
  <property fmtid="{D5CDD505-2E9C-101B-9397-08002B2CF9AE}" pid="4" name="ICV">
    <vt:lpwstr>853A0ECAE1A14C99853C9FAF09269CB7_13</vt:lpwstr>
  </property>
</Properties>
</file>