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CFC68">
      <w:pPr>
        <w:snapToGrid w:val="0"/>
        <w:spacing w:line="640" w:lineRule="exact"/>
        <w:jc w:val="center"/>
        <w:rPr>
          <w:rFonts w:hint="eastAsia" w:ascii="方正小标宋_GBK" w:hAnsi="黑体" w:eastAsia="方正小标宋_GBK" w:cs="Times New Roman"/>
          <w:kern w:val="0"/>
          <w:sz w:val="44"/>
          <w:szCs w:val="44"/>
        </w:rPr>
      </w:pPr>
      <w:r>
        <w:rPr>
          <w:rFonts w:hint="eastAsia" w:ascii="方正小标宋_GBK" w:hAnsi="黑体" w:eastAsia="方正小标宋_GBK" w:cs="Times New Roman"/>
          <w:kern w:val="0"/>
          <w:sz w:val="44"/>
          <w:szCs w:val="44"/>
        </w:rPr>
        <w:t>盛家厍城市更新项目房屋征收补偿方案</w:t>
      </w:r>
    </w:p>
    <w:p w14:paraId="6C6071C2">
      <w:pPr>
        <w:spacing w:line="560" w:lineRule="exact"/>
        <w:ind w:firstLine="640" w:firstLineChars="200"/>
        <w:rPr>
          <w:rFonts w:hint="eastAsia" w:ascii="仿宋_GB2312" w:hAnsi="Times New Roman" w:eastAsia="仿宋_GB2312" w:cs="Times New Roman"/>
          <w:color w:val="000000"/>
          <w:sz w:val="32"/>
          <w:szCs w:val="32"/>
        </w:rPr>
      </w:pPr>
    </w:p>
    <w:p w14:paraId="00360B3E">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根据《国有土地上房屋征收与补偿条例》和《吴江市国有土地上房屋征收与补偿暂行办法》规定，结合调查登记和采样评估等情况，制定本项目房屋征收补偿方案。</w:t>
      </w:r>
    </w:p>
    <w:p w14:paraId="70373304">
      <w:pPr>
        <w:adjustRightInd w:val="0"/>
        <w:snapToGrid w:val="0"/>
        <w:spacing w:line="560" w:lineRule="exact"/>
        <w:ind w:firstLine="640" w:firstLineChars="200"/>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一、征收具体范围</w:t>
      </w:r>
    </w:p>
    <w:p w14:paraId="18DBDF03">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松陵镇西沟浜2弄2号。（上述门牌号如有异议，以规划红线图确定的范围为准</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lang w:val="en-US" w:eastAsia="zh-CN"/>
        </w:rPr>
        <w:t>详见附图</w:t>
      </w:r>
      <w:r>
        <w:rPr>
          <w:rFonts w:hint="eastAsia" w:ascii="仿宋_GB2312" w:hAnsi="Times New Roman" w:eastAsia="仿宋_GB2312" w:cs="Times New Roman"/>
          <w:color w:val="auto"/>
          <w:sz w:val="32"/>
          <w:szCs w:val="32"/>
        </w:rPr>
        <w:t>）</w:t>
      </w:r>
    </w:p>
    <w:p w14:paraId="443A4104">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该项目共计住宅1户，房屋建筑面积约251.32平方米。</w:t>
      </w:r>
    </w:p>
    <w:p w14:paraId="027EA7AF">
      <w:pPr>
        <w:adjustRightInd w:val="0"/>
        <w:snapToGrid w:val="0"/>
        <w:spacing w:line="560" w:lineRule="exact"/>
        <w:ind w:firstLine="640" w:firstLineChars="200"/>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二、征收实施时间</w:t>
      </w:r>
    </w:p>
    <w:p w14:paraId="22A29454">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自房屋征收决定公告之日起。</w:t>
      </w:r>
    </w:p>
    <w:p w14:paraId="7FA3C099">
      <w:pPr>
        <w:adjustRightInd w:val="0"/>
        <w:snapToGrid w:val="0"/>
        <w:spacing w:line="560" w:lineRule="exact"/>
        <w:ind w:firstLine="640" w:firstLineChars="200"/>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三、征收补偿政策</w:t>
      </w:r>
    </w:p>
    <w:p w14:paraId="0D37904A">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（一）征收补偿方式</w:t>
      </w:r>
    </w:p>
    <w:p w14:paraId="696857EF">
      <w:pPr>
        <w:spacing w:line="560" w:lineRule="exact"/>
        <w:ind w:firstLine="640" w:firstLineChars="200"/>
        <w:rPr>
          <w:rFonts w:ascii="仿宋_GB2312" w:hAnsi="仿宋" w:eastAsia="仿宋_GB2312" w:cs="Times New Roman"/>
          <w:color w:val="auto"/>
          <w:sz w:val="32"/>
          <w:szCs w:val="32"/>
        </w:rPr>
      </w:pPr>
      <w:r>
        <w:rPr>
          <w:rFonts w:hint="eastAsia" w:ascii="仿宋_GB2312" w:hAnsi="仿宋" w:eastAsia="仿宋_GB2312" w:cs="Times New Roman"/>
          <w:color w:val="auto"/>
          <w:sz w:val="32"/>
          <w:szCs w:val="32"/>
        </w:rPr>
        <w:t>本项目被征收人可以选择货币补偿，也可以选择产权调换。但涉及房屋附属物的，不作产权调换。</w:t>
      </w:r>
    </w:p>
    <w:p w14:paraId="0EB0644D">
      <w:pPr>
        <w:adjustRightInd w:val="0"/>
        <w:snapToGrid w:val="0"/>
        <w:spacing w:line="560" w:lineRule="exact"/>
        <w:ind w:firstLine="640" w:firstLineChars="200"/>
        <w:rPr>
          <w:rFonts w:ascii="仿宋_GB2312" w:hAnsi="Times New Roman" w:eastAsia="仿宋_GB2312" w:cs="宋体"/>
          <w:color w:val="auto"/>
          <w:sz w:val="32"/>
          <w:szCs w:val="32"/>
        </w:rPr>
      </w:pPr>
      <w:r>
        <w:rPr>
          <w:rFonts w:hint="eastAsia" w:ascii="仿宋_GB2312" w:hAnsi="Times New Roman" w:eastAsia="仿宋_GB2312" w:cs="宋体"/>
          <w:color w:val="auto"/>
          <w:sz w:val="32"/>
          <w:szCs w:val="32"/>
        </w:rPr>
        <w:t>货币补偿，是指在房屋征收补偿中，以市场评估价为标准，对被征收房屋的所有权人进行货币形式的补偿。</w:t>
      </w:r>
    </w:p>
    <w:p w14:paraId="060CCFFB">
      <w:pPr>
        <w:spacing w:line="560" w:lineRule="exact"/>
        <w:ind w:firstLine="640" w:firstLineChars="200"/>
        <w:rPr>
          <w:rFonts w:ascii="仿宋_GB2312" w:hAnsi="仿宋" w:eastAsia="仿宋_GB2312" w:cs="Times New Roman"/>
          <w:color w:val="auto"/>
          <w:sz w:val="32"/>
          <w:szCs w:val="32"/>
        </w:rPr>
      </w:pPr>
      <w:r>
        <w:rPr>
          <w:rFonts w:hint="eastAsia" w:ascii="仿宋_GB2312" w:hAnsi="Times New Roman" w:eastAsia="仿宋_GB2312" w:cs="宋体"/>
          <w:color w:val="auto"/>
          <w:sz w:val="32"/>
          <w:szCs w:val="32"/>
        </w:rPr>
        <w:t>产权调换，是指房屋征收部门提供用于产权调换的房屋与被征收房屋进行调换，计算价格后，结清差价。</w:t>
      </w:r>
    </w:p>
    <w:p w14:paraId="52B5C644">
      <w:pPr>
        <w:adjustRightInd/>
        <w:snapToGrid/>
        <w:spacing w:line="560" w:lineRule="exact"/>
        <w:ind w:firstLine="640" w:firstLineChars="200"/>
        <w:textAlignment w:val="auto"/>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lang w:eastAsia="zh-CN"/>
        </w:rPr>
        <w:t>（</w:t>
      </w:r>
      <w:r>
        <w:rPr>
          <w:rFonts w:hint="eastAsia" w:ascii="楷体_GB2312" w:hAnsi="楷体_GB2312" w:eastAsia="楷体_GB2312" w:cs="楷体_GB2312"/>
          <w:color w:val="auto"/>
          <w:kern w:val="2"/>
          <w:sz w:val="32"/>
          <w:szCs w:val="32"/>
          <w:lang w:val="en-US" w:eastAsia="zh-CN"/>
        </w:rPr>
        <w:t>二</w:t>
      </w:r>
      <w:r>
        <w:rPr>
          <w:rFonts w:hint="eastAsia" w:ascii="楷体_GB2312" w:hAnsi="楷体_GB2312" w:eastAsia="楷体_GB2312" w:cs="楷体_GB2312"/>
          <w:color w:val="auto"/>
          <w:kern w:val="2"/>
          <w:sz w:val="32"/>
          <w:szCs w:val="32"/>
          <w:lang w:eastAsia="zh-CN"/>
        </w:rPr>
        <w:t>）</w:t>
      </w:r>
      <w:r>
        <w:rPr>
          <w:rFonts w:hint="eastAsia" w:ascii="楷体_GB2312" w:hAnsi="楷体_GB2312" w:eastAsia="楷体_GB2312" w:cs="楷体_GB2312"/>
          <w:color w:val="auto"/>
          <w:kern w:val="2"/>
          <w:sz w:val="32"/>
          <w:szCs w:val="32"/>
        </w:rPr>
        <w:t>评估机构的选择方法</w:t>
      </w:r>
    </w:p>
    <w:p w14:paraId="5283AE7B">
      <w:pPr>
        <w:adjustRightInd w:val="0"/>
        <w:snapToGrid w:val="0"/>
        <w:spacing w:line="560" w:lineRule="exact"/>
        <w:ind w:firstLine="640" w:firstLineChars="200"/>
        <w:textAlignment w:val="baseline"/>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房地产价格评估机构由被征收人在房屋征收部门按规定征集、公布的具有相应资质的房地产价格评估机构名单中协商选定。房屋征收部门在征收范围内公布评估机构名单，并在名单公布后5个工作日内登记被征收人的选择意见，半数以上被征收人共同选择一家房地产价格评估机构的，视为协商选择成功，由房屋征收部门与其签订委托评估合同后进行评估作业。如协商选定不成，由房屋征收部门在公布的名单中公开抽签确定，房屋征收部门应当在抽签前5日内在征收范围内公告抽签时间和地点。抽签过程与结果应当由公证机关现场公证。</w:t>
      </w:r>
    </w:p>
    <w:p w14:paraId="4FEEBC37">
      <w:pPr>
        <w:adjustRightInd/>
        <w:snapToGrid/>
        <w:spacing w:line="560" w:lineRule="exact"/>
        <w:ind w:firstLine="640" w:firstLineChars="200"/>
        <w:textAlignment w:val="auto"/>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lang w:eastAsia="zh-CN"/>
        </w:rPr>
        <w:t>（</w:t>
      </w:r>
      <w:r>
        <w:rPr>
          <w:rFonts w:hint="eastAsia" w:ascii="楷体_GB2312" w:hAnsi="楷体_GB2312" w:eastAsia="楷体_GB2312" w:cs="楷体_GB2312"/>
          <w:color w:val="auto"/>
          <w:kern w:val="2"/>
          <w:sz w:val="32"/>
          <w:szCs w:val="32"/>
          <w:lang w:val="en-US" w:eastAsia="zh-CN"/>
        </w:rPr>
        <w:t>三</w:t>
      </w:r>
      <w:r>
        <w:rPr>
          <w:rFonts w:hint="eastAsia" w:ascii="楷体_GB2312" w:hAnsi="楷体_GB2312" w:eastAsia="楷体_GB2312" w:cs="楷体_GB2312"/>
          <w:color w:val="auto"/>
          <w:kern w:val="2"/>
          <w:sz w:val="32"/>
          <w:szCs w:val="32"/>
          <w:lang w:eastAsia="zh-CN"/>
        </w:rPr>
        <w:t>）</w:t>
      </w:r>
      <w:r>
        <w:rPr>
          <w:rFonts w:hint="eastAsia" w:ascii="楷体_GB2312" w:hAnsi="楷体_GB2312" w:eastAsia="楷体_GB2312" w:cs="楷体_GB2312"/>
          <w:color w:val="auto"/>
          <w:kern w:val="2"/>
          <w:sz w:val="32"/>
          <w:szCs w:val="32"/>
        </w:rPr>
        <w:t>被征收人对评估报告有异议的处理方法</w:t>
      </w:r>
    </w:p>
    <w:p w14:paraId="1FB380BD">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被征收人对评估报告有疑问的，房地产价格评估机构应当作出解释说明。被征收人对评估结果有异议的，应当自收到评估报告之日起15日内，向房地产价格评估机构申请复核评估。申请复核评估的，应当向原房地产价格评估机构提出书面复核评估申请，指出评估报告存在的问题，并提供相应依据。</w:t>
      </w:r>
    </w:p>
    <w:p w14:paraId="5C078462">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房地产价格评估机构自收到复核评估申请之日起5日内给予答复。评估结果发生变化的，应当出具复核报告；评估结果没有发生变化的，应当书面告知复核申请人。</w:t>
      </w:r>
    </w:p>
    <w:p w14:paraId="08F63ABC">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被征收人对房地产价格评估机构的复核结果有异议的，应当自收到复核结果之日起15日内，向被征收房屋所在地房地产评估专家委员会申请鉴定。</w:t>
      </w:r>
    </w:p>
    <w:p w14:paraId="75770051">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受理房屋征收评估鉴定后，房地产评估专家委员会应当自收到鉴定申请之日起15日内，指派3人以上单数成员组成鉴定组，处理房屋征收评估鉴定事宜，并出具书面鉴定意见。</w:t>
      </w:r>
    </w:p>
    <w:p w14:paraId="08A5347F">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highlight w:val="yellow"/>
        </w:rPr>
      </w:pPr>
      <w:r>
        <w:rPr>
          <w:rFonts w:hint="eastAsia" w:ascii="仿宋_GB2312" w:hAnsi="Times New Roman" w:eastAsia="仿宋_GB2312" w:cs="Times New Roman"/>
          <w:color w:val="auto"/>
          <w:kern w:val="0"/>
          <w:sz w:val="32"/>
          <w:szCs w:val="32"/>
        </w:rPr>
        <w:t>被征收房屋评估价值时点为房屋征收决定公告之日。</w:t>
      </w:r>
    </w:p>
    <w:p w14:paraId="63DC2292">
      <w:pPr>
        <w:adjustRightInd/>
        <w:snapToGrid/>
        <w:spacing w:line="560" w:lineRule="exact"/>
        <w:ind w:firstLine="640" w:firstLineChars="200"/>
        <w:textAlignment w:val="auto"/>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lang w:eastAsia="zh-CN"/>
        </w:rPr>
        <w:t>（</w:t>
      </w:r>
      <w:r>
        <w:rPr>
          <w:rFonts w:hint="eastAsia" w:ascii="楷体_GB2312" w:hAnsi="楷体_GB2312" w:eastAsia="楷体_GB2312" w:cs="楷体_GB2312"/>
          <w:color w:val="auto"/>
          <w:kern w:val="2"/>
          <w:sz w:val="32"/>
          <w:szCs w:val="32"/>
          <w:lang w:val="en-US" w:eastAsia="zh-CN"/>
        </w:rPr>
        <w:t>四</w:t>
      </w:r>
      <w:r>
        <w:rPr>
          <w:rFonts w:hint="eastAsia" w:ascii="楷体_GB2312" w:hAnsi="楷体_GB2312" w:eastAsia="楷体_GB2312" w:cs="楷体_GB2312"/>
          <w:color w:val="auto"/>
          <w:kern w:val="2"/>
          <w:sz w:val="32"/>
          <w:szCs w:val="32"/>
          <w:lang w:eastAsia="zh-CN"/>
        </w:rPr>
        <w:t>）</w:t>
      </w:r>
      <w:r>
        <w:rPr>
          <w:rFonts w:hint="eastAsia" w:ascii="楷体_GB2312" w:hAnsi="楷体_GB2312" w:eastAsia="楷体_GB2312" w:cs="楷体_GB2312"/>
          <w:color w:val="auto"/>
          <w:kern w:val="2"/>
          <w:sz w:val="32"/>
          <w:szCs w:val="32"/>
        </w:rPr>
        <w:t>达不成补偿协议或被征收房屋所有权人不明确的处理方法</w:t>
      </w:r>
    </w:p>
    <w:p w14:paraId="1FA62FF1">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房屋征收部门与被征收人在征收补偿方案确定的签约期限内达不成补偿协议的，或者被征收房屋所有人不明确的，由房屋征收部门报请区政府作出补偿决定，并在房屋征收范围内予以公告。</w:t>
      </w:r>
    </w:p>
    <w:p w14:paraId="561C28D2">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被征收人对补偿决定不服的，可以依法申请行政复议，也可以依法提起行政诉讼。</w:t>
      </w:r>
    </w:p>
    <w:p w14:paraId="21E856D6">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被征收人在法定期限内不申请行政复议或者不提起行政诉讼，在补偿决定确定的期限内又不搬迁的，由作出征收决定的人民政府依法申请人民法院强制执行。</w:t>
      </w:r>
    </w:p>
    <w:p w14:paraId="5F5FA0E1">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（五）被征收房屋的补偿</w:t>
      </w:r>
    </w:p>
    <w:p w14:paraId="60AE66D8">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1.</w:t>
      </w:r>
      <w:r>
        <w:rPr>
          <w:rFonts w:hint="eastAsia" w:ascii="仿宋_GB2312" w:hAnsi="Times New Roman" w:eastAsia="仿宋_GB2312" w:cs="Times New Roman"/>
          <w:color w:val="auto"/>
          <w:kern w:val="0"/>
          <w:sz w:val="32"/>
          <w:szCs w:val="32"/>
        </w:rPr>
        <w:t>被征收房屋的价值，由具有相应资质的房地产价格评估机构</w:t>
      </w:r>
      <w:r>
        <w:rPr>
          <w:rFonts w:hint="eastAsia" w:ascii="仿宋_GB2312" w:hAnsi="Times New Roman" w:eastAsia="仿宋_GB2312" w:cs="Times New Roman"/>
          <w:color w:val="auto"/>
          <w:sz w:val="32"/>
          <w:szCs w:val="32"/>
        </w:rPr>
        <w:t>根据被征收房屋情况和征收时点，按照房屋征收评估办法评估确定。</w:t>
      </w:r>
    </w:p>
    <w:p w14:paraId="787436A6">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经采样评估，被征收住宅房屋类似房地产市场价格评估基数为：22218元/平方米。</w:t>
      </w:r>
    </w:p>
    <w:p w14:paraId="17D60E97">
      <w:pPr>
        <w:spacing w:line="560" w:lineRule="exact"/>
        <w:ind w:firstLine="640"/>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sz w:val="32"/>
          <w:szCs w:val="32"/>
        </w:rPr>
        <w:t>2.</w:t>
      </w:r>
      <w:r>
        <w:rPr>
          <w:rFonts w:hint="eastAsia" w:ascii="仿宋_GB2312" w:hAnsi="Times New Roman" w:eastAsia="仿宋_GB2312" w:cs="Times New Roman"/>
          <w:color w:val="auto"/>
          <w:kern w:val="0"/>
          <w:sz w:val="32"/>
          <w:szCs w:val="32"/>
        </w:rPr>
        <w:t>被征收房屋装饰装修及附属物的补偿</w:t>
      </w:r>
    </w:p>
    <w:p w14:paraId="52233EED">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被征收房屋装饰装修补偿和附属物补偿，按照具有相应资质的房地产价格评估机构确定的评估价格给予补偿。</w:t>
      </w:r>
    </w:p>
    <w:p w14:paraId="64264CFB">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（六）其他补偿</w:t>
      </w:r>
    </w:p>
    <w:p w14:paraId="462A5D53">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1.搬迁补偿费</w:t>
      </w:r>
    </w:p>
    <w:p w14:paraId="3A810C99">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sz w:val="32"/>
          <w:szCs w:val="32"/>
        </w:rPr>
        <w:t>被征收人搬迁时产生的搬迁费按搬迁实际费用予以补偿，也可由征收实施单位负责搬迁，费用由征收实施单位承担</w:t>
      </w:r>
      <w:r>
        <w:rPr>
          <w:rFonts w:hint="eastAsia" w:ascii="仿宋_GB2312" w:hAnsi="Times New Roman" w:eastAsia="仿宋_GB2312" w:cs="Times New Roman"/>
          <w:color w:val="auto"/>
          <w:kern w:val="0"/>
          <w:sz w:val="32"/>
          <w:szCs w:val="32"/>
        </w:rPr>
        <w:t>。</w:t>
      </w:r>
    </w:p>
    <w:p w14:paraId="27FECEF2">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2.移装固定设施补偿费</w:t>
      </w:r>
    </w:p>
    <w:p w14:paraId="56472E71">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征收人的电话移机费，宽带上网初装费，原水、电增容费，管道煤气气源建设费及安装费，有线电视原装费，空调移机费（含材料损耗费）补偿按房屋征收时相关部门的实际价格一次性予以补偿（电话移机费、空调移机费按二次发放）。</w:t>
      </w:r>
    </w:p>
    <w:p w14:paraId="68502207">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 xml:space="preserve">3.按时签约、搬迁奖励费  </w:t>
      </w:r>
    </w:p>
    <w:p w14:paraId="4CC9461C">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在签约期限内完成签约的并按协议约定的搬迁期限完成搬迁的，给予每户2万元奖励费。</w:t>
      </w:r>
    </w:p>
    <w:p w14:paraId="519099EA">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（七）分类结算方式</w:t>
      </w:r>
    </w:p>
    <w:p w14:paraId="58E6A15D">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1.选择货币补偿的：</w:t>
      </w:r>
    </w:p>
    <w:p w14:paraId="6829DE34">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被征收房屋的补偿+装饰装修及附属物的补偿+搬迁补偿费+移装固定设施补偿费+按时签约、搬迁奖励费，以现金方式支付；</w:t>
      </w:r>
    </w:p>
    <w:p w14:paraId="75A96FDE">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选择货币补偿的，不再享受产权调换安置。</w:t>
      </w:r>
    </w:p>
    <w:p w14:paraId="1B905FBB">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2.选择产权调换的：</w:t>
      </w:r>
    </w:p>
    <w:p w14:paraId="22FF01C1">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征收房屋的补偿+装饰装修及附属物的补偿+搬迁补偿费+移装固定设施补偿费+按时签约、搬迁奖励费的补偿总价与选定产权调换房屋在同一评估时点分别计价后，互结差价。住宅产权调换房屋不得超过原房屋合法建筑面积20平方米。</w:t>
      </w:r>
    </w:p>
    <w:p w14:paraId="245A2CF8">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（八）计户规则</w:t>
      </w:r>
    </w:p>
    <w:p w14:paraId="73E86735">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以房屋所有权证或其他合法有效凭证计户，一处房屋多人共有的，按一户认定，成套住宅以套计户。</w:t>
      </w:r>
    </w:p>
    <w:p w14:paraId="100A40F2">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（九）房屋所有权人和面积认定</w:t>
      </w:r>
    </w:p>
    <w:p w14:paraId="1EA7C6EE">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1.</w:t>
      </w:r>
      <w:r>
        <w:rPr>
          <w:rFonts w:hint="eastAsia" w:ascii="仿宋_GB2312" w:hAnsi="Times New Roman" w:eastAsia="仿宋_GB2312" w:cs="Times New Roman"/>
          <w:color w:val="auto"/>
          <w:kern w:val="0"/>
          <w:sz w:val="32"/>
          <w:szCs w:val="32"/>
        </w:rPr>
        <w:t>被征收的房屋，以房屋所有权证及其他相关有效文件认定房屋所有权人和建筑面积。土地使用权人和使用面积以国有土地使用权证及其他相关有效文件认定。</w:t>
      </w:r>
    </w:p>
    <w:p w14:paraId="2B098D58">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2.对超过产权证以外的房屋须经自然资源和规划部门认定后按认定性质进行补偿，未经认定一律作为违法建筑处理。</w:t>
      </w:r>
    </w:p>
    <w:p w14:paraId="664BD076">
      <w:p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3.车库以产权证载明面积按市场评估价作货币补偿，不作房屋面积安置。</w:t>
      </w:r>
    </w:p>
    <w:p w14:paraId="743C63EB">
      <w:pPr>
        <w:adjustRightInd/>
        <w:snapToGrid/>
        <w:spacing w:line="560" w:lineRule="exact"/>
        <w:ind w:firstLine="640" w:firstLineChars="200"/>
        <w:textAlignment w:val="auto"/>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rPr>
        <w:t>（十）房屋用途认定</w:t>
      </w:r>
    </w:p>
    <w:p w14:paraId="2A6C99E2">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kern w:val="0"/>
          <w:sz w:val="32"/>
          <w:szCs w:val="32"/>
        </w:rPr>
        <w:t>被征收房屋用途以土地使用权证、房屋所有权证、建设工程规划许可证或其他相关有效文件认定。</w:t>
      </w:r>
    </w:p>
    <w:p w14:paraId="32AD1C9F">
      <w:pPr>
        <w:adjustRightInd w:val="0"/>
        <w:snapToGrid w:val="0"/>
        <w:spacing w:line="560" w:lineRule="exact"/>
        <w:ind w:firstLine="640" w:firstLineChars="200"/>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四、产权调换房房源地点</w:t>
      </w:r>
    </w:p>
    <w:p w14:paraId="57399B27">
      <w:pPr>
        <w:adjustRightInd w:val="0"/>
        <w:snapToGrid w:val="0"/>
        <w:spacing w:line="560" w:lineRule="exact"/>
        <w:ind w:firstLine="640" w:firstLineChars="200"/>
        <w:textAlignment w:val="baseline"/>
        <w:rPr>
          <w:rFonts w:ascii="仿宋_GB2312" w:hAnsi="Times New Roman" w:eastAsia="仿宋_GB2312" w:cs="Times New Roman"/>
          <w:color w:val="auto"/>
          <w:sz w:val="32"/>
          <w:szCs w:val="32"/>
        </w:rPr>
      </w:pPr>
      <w:r>
        <w:rPr>
          <w:rFonts w:hint="eastAsia" w:ascii="仿宋_GB2312" w:hAnsi="Times New Roman" w:eastAsia="仿宋_GB2312" w:cs="Times New Roman"/>
          <w:color w:val="auto"/>
          <w:kern w:val="0"/>
          <w:sz w:val="32"/>
          <w:szCs w:val="32"/>
        </w:rPr>
        <w:t>本项目提供</w:t>
      </w:r>
      <w:r>
        <w:rPr>
          <w:rFonts w:hint="eastAsia" w:ascii="仿宋_GB2312" w:hAnsi="Times New Roman" w:eastAsia="仿宋_GB2312" w:cs="Times New Roman"/>
          <w:color w:val="auto"/>
          <w:sz w:val="32"/>
          <w:szCs w:val="32"/>
        </w:rPr>
        <w:t>3处产权调换房源：</w:t>
      </w:r>
    </w:p>
    <w:p w14:paraId="76A58AEE">
      <w:pPr>
        <w:numPr>
          <w:ilvl w:val="0"/>
          <w:numId w:val="1"/>
        </w:num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兰景苑二期现房，共有2种套型，分别为约75平方米、约90平方米；</w:t>
      </w:r>
    </w:p>
    <w:p w14:paraId="2A53A30F">
      <w:pPr>
        <w:numPr>
          <w:ilvl w:val="0"/>
          <w:numId w:val="1"/>
        </w:num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梅景苑现房，共有1种套型，约140平方米；</w:t>
      </w:r>
    </w:p>
    <w:p w14:paraId="5971950F">
      <w:pPr>
        <w:numPr>
          <w:ilvl w:val="0"/>
          <w:numId w:val="1"/>
        </w:numPr>
        <w:spacing w:line="560" w:lineRule="exact"/>
        <w:ind w:firstLine="640" w:firstLineChars="200"/>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新秀华庭现房，共有1种套型约120平方米。</w:t>
      </w:r>
    </w:p>
    <w:p w14:paraId="605FB70C">
      <w:pPr>
        <w:adjustRightInd w:val="0"/>
        <w:snapToGrid w:val="0"/>
        <w:spacing w:line="560" w:lineRule="exact"/>
        <w:ind w:firstLine="640" w:firstLineChars="200"/>
        <w:textAlignment w:val="baseline"/>
        <w:rPr>
          <w:rFonts w:ascii="仿宋_GB2312" w:hAnsi="Times New Roman" w:eastAsia="仿宋_GB2312" w:cs="Times New Roman"/>
          <w:color w:val="auto"/>
          <w:sz w:val="32"/>
          <w:szCs w:val="32"/>
        </w:rPr>
      </w:pPr>
      <w:r>
        <w:rPr>
          <w:rFonts w:hint="eastAsia" w:ascii="仿宋_GB2312" w:hAnsi="Times New Roman" w:eastAsia="仿宋_GB2312" w:cs="Times New Roman"/>
          <w:color w:val="auto"/>
          <w:kern w:val="0"/>
          <w:sz w:val="32"/>
          <w:szCs w:val="32"/>
        </w:rPr>
        <w:t>用于产权调换房屋的市场价值由具有相应资质的房地产价格评估机构根据产权调换房屋情况，按照房屋征收评估办法评估确定，</w:t>
      </w:r>
      <w:r>
        <w:rPr>
          <w:rFonts w:hint="eastAsia" w:ascii="仿宋_GB2312" w:hAnsi="Times New Roman" w:eastAsia="仿宋_GB2312" w:cs="Times New Roman"/>
          <w:color w:val="auto"/>
          <w:sz w:val="32"/>
          <w:szCs w:val="32"/>
        </w:rPr>
        <w:t>车库以市场评估价结算。</w:t>
      </w:r>
      <w:r>
        <w:rPr>
          <w:rFonts w:hint="eastAsia" w:ascii="仿宋_GB2312" w:hAnsi="Times New Roman" w:eastAsia="仿宋_GB2312" w:cs="Times New Roman"/>
          <w:color w:val="auto"/>
          <w:kern w:val="0"/>
          <w:sz w:val="32"/>
          <w:szCs w:val="32"/>
        </w:rPr>
        <w:t>评估时点、评估方法与被征收房屋评估时点、评估方法一致。</w:t>
      </w:r>
    </w:p>
    <w:p w14:paraId="36EB9BDB">
      <w:pPr>
        <w:adjustRightInd w:val="0"/>
        <w:snapToGrid w:val="0"/>
        <w:spacing w:line="560" w:lineRule="exact"/>
        <w:ind w:firstLine="640" w:firstLineChars="200"/>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五、搬迁方式及期限</w:t>
      </w:r>
    </w:p>
    <w:p w14:paraId="5281A2A9">
      <w:pPr>
        <w:adjustRightInd w:val="0"/>
        <w:snapToGrid w:val="0"/>
        <w:spacing w:line="560" w:lineRule="exact"/>
        <w:ind w:firstLine="640" w:firstLineChars="200"/>
        <w:textAlignment w:val="baseline"/>
        <w:rPr>
          <w:rFonts w:ascii="仿宋_GB2312" w:hAnsi="Times New Roman" w:eastAsia="仿宋_GB2312" w:cs="Times New Roman"/>
          <w:color w:val="auto"/>
          <w:kern w:val="0"/>
          <w:sz w:val="32"/>
          <w:szCs w:val="32"/>
        </w:rPr>
      </w:pPr>
      <w:r>
        <w:rPr>
          <w:rFonts w:hint="eastAsia" w:ascii="仿宋_GB2312" w:hAnsi="Times New Roman" w:eastAsia="仿宋_GB2312" w:cs="Times New Roman"/>
          <w:color w:val="auto"/>
          <w:sz w:val="32"/>
          <w:szCs w:val="32"/>
        </w:rPr>
        <w:t>被征收人应当在征收补偿协议约定或者征收补偿决定确定的搬迁期限内完成搬迁并腾空房屋交出钥匙。</w:t>
      </w:r>
      <w:r>
        <w:rPr>
          <w:rFonts w:ascii="仿宋_GB2312" w:hAnsi="Times New Roman" w:eastAsia="仿宋_GB2312" w:cs="Times New Roman"/>
          <w:color w:val="auto"/>
          <w:kern w:val="0"/>
          <w:sz w:val="32"/>
          <w:szCs w:val="32"/>
        </w:rPr>
        <w:t>本项目提供的产权调换房源均为现房</w:t>
      </w:r>
      <w:r>
        <w:rPr>
          <w:rFonts w:hint="eastAsia" w:ascii="仿宋_GB2312" w:hAnsi="Times New Roman" w:eastAsia="仿宋_GB2312" w:cs="Times New Roman"/>
          <w:color w:val="auto"/>
          <w:kern w:val="0"/>
          <w:sz w:val="32"/>
          <w:szCs w:val="32"/>
        </w:rPr>
        <w:t>，原则上无需过渡。如</w:t>
      </w:r>
      <w:r>
        <w:rPr>
          <w:rFonts w:ascii="仿宋_GB2312" w:hAnsi="Times New Roman" w:eastAsia="仿宋_GB2312" w:cs="Times New Roman"/>
          <w:color w:val="auto"/>
          <w:kern w:val="0"/>
          <w:sz w:val="32"/>
          <w:szCs w:val="32"/>
        </w:rPr>
        <w:t>因特殊情况</w:t>
      </w:r>
      <w:r>
        <w:rPr>
          <w:rFonts w:hint="eastAsia" w:ascii="仿宋_GB2312" w:hAnsi="Times New Roman" w:eastAsia="仿宋_GB2312" w:cs="Times New Roman"/>
          <w:color w:val="auto"/>
          <w:kern w:val="0"/>
          <w:sz w:val="32"/>
          <w:szCs w:val="32"/>
        </w:rPr>
        <w:t>确需</w:t>
      </w:r>
      <w:r>
        <w:rPr>
          <w:rFonts w:ascii="仿宋_GB2312" w:hAnsi="Times New Roman" w:eastAsia="仿宋_GB2312" w:cs="Times New Roman"/>
          <w:color w:val="auto"/>
          <w:kern w:val="0"/>
          <w:sz w:val="32"/>
          <w:szCs w:val="32"/>
        </w:rPr>
        <w:t>过渡的</w:t>
      </w:r>
      <w:r>
        <w:rPr>
          <w:rFonts w:hint="eastAsia" w:ascii="仿宋_GB2312" w:hAnsi="Times New Roman" w:eastAsia="仿宋_GB2312" w:cs="Times New Roman"/>
          <w:color w:val="auto"/>
          <w:kern w:val="0"/>
          <w:sz w:val="32"/>
          <w:szCs w:val="32"/>
        </w:rPr>
        <w:t>，可向被征收人</w:t>
      </w:r>
      <w:r>
        <w:rPr>
          <w:rFonts w:ascii="仿宋_GB2312" w:hAnsi="Times New Roman" w:eastAsia="仿宋_GB2312" w:cs="Times New Roman"/>
          <w:color w:val="auto"/>
          <w:kern w:val="0"/>
          <w:sz w:val="32"/>
          <w:szCs w:val="32"/>
        </w:rPr>
        <w:t>提供周转用房进行过渡</w:t>
      </w:r>
      <w:r>
        <w:rPr>
          <w:rFonts w:hint="eastAsia" w:ascii="仿宋_GB2312" w:hAnsi="Times New Roman" w:eastAsia="仿宋_GB2312" w:cs="Times New Roman"/>
          <w:color w:val="auto"/>
          <w:kern w:val="0"/>
          <w:sz w:val="32"/>
          <w:szCs w:val="32"/>
        </w:rPr>
        <w:t>。</w:t>
      </w:r>
    </w:p>
    <w:p w14:paraId="75640694">
      <w:pPr>
        <w:adjustRightInd w:val="0"/>
        <w:snapToGrid w:val="0"/>
        <w:spacing w:line="560" w:lineRule="exact"/>
        <w:ind w:firstLine="640" w:firstLineChars="200"/>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六、拟定的签约期限</w:t>
      </w:r>
    </w:p>
    <w:p w14:paraId="0485069C">
      <w:pPr>
        <w:adjustRightInd w:val="0"/>
        <w:snapToGrid w:val="0"/>
        <w:spacing w:line="560" w:lineRule="exact"/>
        <w:ind w:firstLine="640" w:firstLineChars="200"/>
        <w:rPr>
          <w:rFonts w:ascii="仿宋_GB2312" w:hAnsi="Times New Roman" w:eastAsia="仿宋_GB2312" w:cs="宋体"/>
          <w:color w:val="auto"/>
          <w:sz w:val="32"/>
          <w:szCs w:val="32"/>
        </w:rPr>
      </w:pPr>
      <w:r>
        <w:rPr>
          <w:rFonts w:hint="eastAsia" w:ascii="仿宋_GB2312" w:hAnsi="Times New Roman" w:eastAsia="仿宋_GB2312" w:cs="宋体"/>
          <w:color w:val="auto"/>
          <w:sz w:val="32"/>
          <w:szCs w:val="32"/>
        </w:rPr>
        <w:t>自房屋征收决定公告之日起90日。</w:t>
      </w:r>
    </w:p>
    <w:p w14:paraId="4DE79BA0">
      <w:pPr>
        <w:spacing w:line="520" w:lineRule="exact"/>
        <w:rPr>
          <w:rFonts w:hint="eastAsia" w:ascii="仿宋_GB2312" w:hAnsi="仿宋" w:eastAsia="仿宋_GB2312" w:cs="Times New Roman"/>
          <w:color w:val="auto"/>
          <w:sz w:val="32"/>
          <w:szCs w:val="32"/>
        </w:rPr>
      </w:pPr>
    </w:p>
    <w:p w14:paraId="4A6066FE">
      <w:pPr>
        <w:spacing w:line="520" w:lineRule="exact"/>
        <w:ind w:left="2253" w:leftChars="304" w:hanging="1280" w:hangingChars="4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附件：1.</w:t>
      </w:r>
      <w:r>
        <w:rPr>
          <w:rFonts w:hint="eastAsia" w:ascii="仿宋_GB2312" w:hAnsi="仿宋" w:eastAsia="仿宋_GB2312" w:cs="Times New Roman"/>
          <w:color w:val="auto"/>
          <w:sz w:val="32"/>
          <w:szCs w:val="32"/>
        </w:rPr>
        <w:t>本项目确定的产权调换房源基准价格及层次调节系数表</w:t>
      </w:r>
    </w:p>
    <w:p w14:paraId="1E205AAD">
      <w:pPr>
        <w:keepNext w:val="0"/>
        <w:keepLines w:val="0"/>
        <w:pageBreakBefore w:val="0"/>
        <w:widowControl w:val="0"/>
        <w:kinsoku/>
        <w:wordWrap/>
        <w:overflowPunct/>
        <w:topLinePunct w:val="0"/>
        <w:autoSpaceDE/>
        <w:autoSpaceDN/>
        <w:bidi w:val="0"/>
        <w:adjustRightInd/>
        <w:snapToGrid/>
        <w:spacing w:line="520" w:lineRule="exact"/>
        <w:ind w:firstLine="1760" w:firstLineChars="550"/>
        <w:textAlignment w:val="auto"/>
        <w:rPr>
          <w:rFonts w:hint="default" w:ascii="仿宋_GB2312" w:hAnsi="仿宋" w:eastAsia="仿宋_GB2312" w:cs="Times New Roman"/>
          <w:color w:val="auto"/>
          <w:sz w:val="32"/>
          <w:szCs w:val="32"/>
          <w:lang w:val="en-US" w:eastAsia="zh-CN"/>
        </w:rPr>
      </w:pPr>
      <w:r>
        <w:rPr>
          <w:rFonts w:hint="eastAsia" w:ascii="仿宋_GB2312" w:hAnsi="仿宋" w:eastAsia="仿宋_GB2312" w:cs="Times New Roman"/>
          <w:color w:val="auto"/>
          <w:sz w:val="32"/>
          <w:szCs w:val="32"/>
          <w:lang w:val="en-US" w:eastAsia="zh-CN"/>
        </w:rPr>
        <w:t>2.红线图</w:t>
      </w:r>
    </w:p>
    <w:p w14:paraId="11513387">
      <w:pPr>
        <w:spacing w:line="520" w:lineRule="exact"/>
        <w:ind w:firstLine="0" w:firstLineChars="0"/>
        <w:rPr>
          <w:rFonts w:hint="eastAsia" w:ascii="仿宋_GB2312" w:hAnsi="仿宋" w:eastAsia="仿宋_GB2312" w:cs="Times New Roman"/>
          <w:color w:val="auto"/>
          <w:sz w:val="32"/>
          <w:szCs w:val="32"/>
        </w:rPr>
      </w:pPr>
    </w:p>
    <w:p w14:paraId="0BACC14B">
      <w:pPr>
        <w:spacing w:line="520" w:lineRule="exact"/>
        <w:ind w:firstLine="0" w:firstLineChars="0"/>
        <w:rPr>
          <w:rFonts w:hint="eastAsia" w:ascii="方正小标宋_GBK" w:hAnsi="方正小标宋_GBK" w:eastAsia="方正小标宋_GBK" w:cs="方正小标宋_GBK"/>
          <w:color w:val="auto"/>
          <w:sz w:val="32"/>
          <w:szCs w:val="32"/>
        </w:rPr>
      </w:pPr>
    </w:p>
    <w:p w14:paraId="1CA41BEB">
      <w:pPr>
        <w:spacing w:line="520" w:lineRule="exact"/>
        <w:ind w:firstLine="0" w:firstLineChars="0"/>
        <w:rPr>
          <w:rFonts w:hint="eastAsia" w:ascii="方正小标宋_GBK" w:hAnsi="方正小标宋_GBK" w:eastAsia="方正小标宋_GBK" w:cs="方正小标宋_GBK"/>
          <w:color w:val="auto"/>
          <w:sz w:val="32"/>
          <w:szCs w:val="32"/>
        </w:rPr>
      </w:pPr>
    </w:p>
    <w:p w14:paraId="3B99D9EA">
      <w:pPr>
        <w:spacing w:line="520" w:lineRule="exact"/>
        <w:ind w:firstLine="0" w:firstLineChars="0"/>
        <w:rPr>
          <w:rFonts w:hint="eastAsia" w:ascii="方正小标宋_GBK" w:hAnsi="方正小标宋_GBK" w:eastAsia="方正小标宋_GBK" w:cs="方正小标宋_GBK"/>
          <w:color w:val="auto"/>
          <w:sz w:val="32"/>
          <w:szCs w:val="32"/>
        </w:rPr>
      </w:pPr>
    </w:p>
    <w:p w14:paraId="0E867720">
      <w:pPr>
        <w:spacing w:line="520" w:lineRule="exact"/>
        <w:ind w:firstLine="0" w:firstLineChars="0"/>
        <w:rPr>
          <w:rFonts w:hint="eastAsia" w:ascii="方正小标宋_GBK" w:hAnsi="方正小标宋_GBK" w:eastAsia="方正小标宋_GBK" w:cs="方正小标宋_GBK"/>
          <w:color w:val="auto"/>
          <w:sz w:val="32"/>
          <w:szCs w:val="32"/>
        </w:rPr>
      </w:pPr>
    </w:p>
    <w:p w14:paraId="2D4C7020">
      <w:pPr>
        <w:spacing w:line="520" w:lineRule="exact"/>
        <w:ind w:firstLine="0" w:firstLineChars="0"/>
        <w:rPr>
          <w:rFonts w:hint="eastAsia" w:ascii="方正小标宋_GBK" w:hAnsi="方正小标宋_GBK" w:eastAsia="方正小标宋_GBK" w:cs="方正小标宋_GBK"/>
          <w:color w:val="auto"/>
          <w:sz w:val="32"/>
          <w:szCs w:val="32"/>
        </w:rPr>
      </w:pPr>
    </w:p>
    <w:p w14:paraId="041BACFE">
      <w:pPr>
        <w:spacing w:line="520" w:lineRule="exact"/>
        <w:ind w:firstLine="0" w:firstLineChars="0"/>
        <w:rPr>
          <w:rFonts w:hint="eastAsia" w:ascii="方正小标宋_GBK" w:hAnsi="方正小标宋_GBK" w:eastAsia="方正小标宋_GBK" w:cs="方正小标宋_GBK"/>
          <w:color w:val="auto"/>
          <w:sz w:val="32"/>
          <w:szCs w:val="32"/>
        </w:rPr>
      </w:pPr>
    </w:p>
    <w:p w14:paraId="61EC1F8E">
      <w:pPr>
        <w:spacing w:line="520" w:lineRule="exact"/>
        <w:ind w:firstLine="0" w:firstLineChars="0"/>
        <w:rPr>
          <w:rFonts w:hint="eastAsia" w:ascii="方正小标宋_GBK" w:hAnsi="方正小标宋_GBK" w:eastAsia="方正小标宋_GBK" w:cs="方正小标宋_GBK"/>
          <w:color w:val="auto"/>
          <w:sz w:val="32"/>
          <w:szCs w:val="32"/>
        </w:rPr>
      </w:pPr>
    </w:p>
    <w:p w14:paraId="2025E194">
      <w:pPr>
        <w:spacing w:line="520" w:lineRule="exact"/>
        <w:ind w:firstLine="0" w:firstLineChars="0"/>
        <w:rPr>
          <w:rFonts w:hint="eastAsia" w:ascii="方正小标宋_GBK" w:hAnsi="方正小标宋_GBK" w:eastAsia="方正小标宋_GBK" w:cs="方正小标宋_GBK"/>
          <w:color w:val="auto"/>
          <w:sz w:val="32"/>
          <w:szCs w:val="32"/>
        </w:rPr>
      </w:pPr>
    </w:p>
    <w:p w14:paraId="520DBAB7">
      <w:pPr>
        <w:spacing w:line="520" w:lineRule="exact"/>
        <w:ind w:firstLine="0" w:firstLineChars="0"/>
        <w:rPr>
          <w:rFonts w:hint="eastAsia" w:ascii="方正小标宋_GBK" w:hAnsi="方正小标宋_GBK" w:eastAsia="方正小标宋_GBK" w:cs="方正小标宋_GBK"/>
          <w:color w:val="auto"/>
          <w:sz w:val="32"/>
          <w:szCs w:val="32"/>
        </w:rPr>
      </w:pPr>
    </w:p>
    <w:p w14:paraId="7DFC365D">
      <w:pPr>
        <w:spacing w:line="520" w:lineRule="exact"/>
        <w:ind w:firstLine="0" w:firstLineChars="0"/>
        <w:rPr>
          <w:rFonts w:hint="eastAsia" w:ascii="方正小标宋_GBK" w:hAnsi="方正小标宋_GBK" w:eastAsia="方正小标宋_GBK" w:cs="方正小标宋_GBK"/>
          <w:color w:val="000000"/>
          <w:sz w:val="32"/>
          <w:szCs w:val="32"/>
        </w:rPr>
      </w:pPr>
    </w:p>
    <w:p w14:paraId="14C39A4D">
      <w:pPr>
        <w:spacing w:line="520" w:lineRule="exact"/>
        <w:ind w:firstLine="0" w:firstLineChars="0"/>
        <w:rPr>
          <w:rFonts w:hint="eastAsia" w:ascii="方正小标宋_GBK" w:hAnsi="方正小标宋_GBK" w:eastAsia="方正小标宋_GBK" w:cs="方正小标宋_GBK"/>
          <w:color w:val="000000"/>
          <w:sz w:val="32"/>
          <w:szCs w:val="32"/>
        </w:rPr>
      </w:pPr>
      <w:bookmarkStart w:id="0" w:name="_GoBack"/>
      <w:bookmarkEnd w:id="0"/>
      <w:r>
        <w:rPr>
          <w:rFonts w:hint="eastAsia" w:ascii="方正小标宋_GBK" w:hAnsi="方正小标宋_GBK" w:eastAsia="方正小标宋_GBK" w:cs="方正小标宋_GBK"/>
          <w:color w:val="000000"/>
          <w:sz w:val="32"/>
          <w:szCs w:val="32"/>
        </w:rPr>
        <w:t>附表1：兰景苑、梅景苑、新秀华庭房屋采样评估价格汇总表</w:t>
      </w:r>
    </w:p>
    <w:tbl>
      <w:tblPr>
        <w:tblStyle w:val="4"/>
        <w:tblW w:w="5000" w:type="pct"/>
        <w:tblInd w:w="0" w:type="dxa"/>
        <w:tblLayout w:type="autofit"/>
        <w:tblCellMar>
          <w:top w:w="0" w:type="dxa"/>
          <w:left w:w="108" w:type="dxa"/>
          <w:bottom w:w="0" w:type="dxa"/>
          <w:right w:w="108" w:type="dxa"/>
        </w:tblCellMar>
      </w:tblPr>
      <w:tblGrid>
        <w:gridCol w:w="697"/>
        <w:gridCol w:w="2803"/>
        <w:gridCol w:w="1570"/>
        <w:gridCol w:w="2510"/>
        <w:gridCol w:w="1481"/>
      </w:tblGrid>
      <w:tr w14:paraId="4D8F65FC">
        <w:tblPrEx>
          <w:tblCellMar>
            <w:top w:w="0" w:type="dxa"/>
            <w:left w:w="108" w:type="dxa"/>
            <w:bottom w:w="0" w:type="dxa"/>
            <w:right w:w="108" w:type="dxa"/>
          </w:tblCellMar>
        </w:tblPrEx>
        <w:trPr>
          <w:trHeight w:val="619" w:hRule="atLeast"/>
        </w:trPr>
        <w:tc>
          <w:tcPr>
            <w:tcW w:w="656" w:type="dxa"/>
            <w:tcBorders>
              <w:top w:val="single" w:color="auto" w:sz="4" w:space="0"/>
              <w:left w:val="single" w:color="auto" w:sz="4" w:space="0"/>
              <w:bottom w:val="single" w:color="auto" w:sz="4" w:space="0"/>
              <w:right w:val="single" w:color="auto" w:sz="4" w:space="0"/>
            </w:tcBorders>
            <w:noWrap/>
            <w:vAlign w:val="center"/>
          </w:tcPr>
          <w:p w14:paraId="4B156BDA">
            <w:pPr>
              <w:widowControl/>
              <w:jc w:val="center"/>
              <w:rPr>
                <w:rFonts w:ascii="宋体" w:hAnsi="宋体" w:eastAsia="宋体" w:cs="Times New Roman"/>
                <w:b/>
                <w:bCs/>
                <w:color w:val="000000"/>
                <w:kern w:val="0"/>
                <w:sz w:val="22"/>
                <w:szCs w:val="22"/>
              </w:rPr>
            </w:pPr>
            <w:r>
              <w:rPr>
                <w:rFonts w:hint="eastAsia" w:ascii="宋体" w:hAnsi="宋体" w:eastAsia="宋体" w:cs="Times New Roman"/>
                <w:b/>
                <w:bCs/>
                <w:color w:val="000000"/>
                <w:kern w:val="0"/>
                <w:sz w:val="22"/>
                <w:szCs w:val="22"/>
              </w:rPr>
              <w:t>序号</w:t>
            </w:r>
          </w:p>
        </w:tc>
        <w:tc>
          <w:tcPr>
            <w:tcW w:w="2636" w:type="dxa"/>
            <w:tcBorders>
              <w:top w:val="single" w:color="auto" w:sz="4" w:space="0"/>
              <w:left w:val="nil"/>
              <w:bottom w:val="single" w:color="auto" w:sz="4" w:space="0"/>
              <w:right w:val="single" w:color="auto" w:sz="4" w:space="0"/>
            </w:tcBorders>
            <w:noWrap/>
            <w:vAlign w:val="center"/>
          </w:tcPr>
          <w:p w14:paraId="5554B068">
            <w:pPr>
              <w:widowControl/>
              <w:jc w:val="center"/>
              <w:rPr>
                <w:rFonts w:ascii="宋体" w:hAnsi="宋体" w:eastAsia="宋体" w:cs="Times New Roman"/>
                <w:b/>
                <w:bCs/>
                <w:color w:val="000000"/>
                <w:kern w:val="0"/>
                <w:sz w:val="22"/>
                <w:szCs w:val="22"/>
              </w:rPr>
            </w:pPr>
            <w:r>
              <w:rPr>
                <w:rFonts w:hint="eastAsia" w:ascii="宋体" w:hAnsi="宋体" w:eastAsia="宋体" w:cs="Times New Roman"/>
                <w:b/>
                <w:bCs/>
                <w:color w:val="000000"/>
                <w:kern w:val="0"/>
                <w:sz w:val="22"/>
                <w:szCs w:val="22"/>
              </w:rPr>
              <w:t>小区名称</w:t>
            </w:r>
          </w:p>
        </w:tc>
        <w:tc>
          <w:tcPr>
            <w:tcW w:w="1477" w:type="dxa"/>
            <w:tcBorders>
              <w:top w:val="single" w:color="auto" w:sz="4" w:space="0"/>
              <w:left w:val="nil"/>
              <w:bottom w:val="single" w:color="auto" w:sz="4" w:space="0"/>
              <w:right w:val="single" w:color="auto" w:sz="4" w:space="0"/>
            </w:tcBorders>
            <w:noWrap/>
            <w:vAlign w:val="center"/>
          </w:tcPr>
          <w:p w14:paraId="47464A39">
            <w:pPr>
              <w:widowControl/>
              <w:jc w:val="center"/>
              <w:rPr>
                <w:rFonts w:ascii="宋体" w:hAnsi="宋体" w:eastAsia="宋体" w:cs="Times New Roman"/>
                <w:b/>
                <w:bCs/>
                <w:color w:val="000000"/>
                <w:kern w:val="0"/>
                <w:sz w:val="22"/>
                <w:szCs w:val="22"/>
              </w:rPr>
            </w:pPr>
            <w:r>
              <w:rPr>
                <w:rFonts w:hint="eastAsia" w:ascii="宋体" w:hAnsi="宋体" w:eastAsia="宋体" w:cs="Times New Roman"/>
                <w:b/>
                <w:bCs/>
                <w:color w:val="000000"/>
                <w:kern w:val="0"/>
                <w:sz w:val="22"/>
                <w:szCs w:val="22"/>
              </w:rPr>
              <w:t>房屋类型</w:t>
            </w:r>
          </w:p>
        </w:tc>
        <w:tc>
          <w:tcPr>
            <w:tcW w:w="2361" w:type="dxa"/>
            <w:tcBorders>
              <w:top w:val="single" w:color="auto" w:sz="4" w:space="0"/>
              <w:left w:val="nil"/>
              <w:bottom w:val="single" w:color="auto" w:sz="4" w:space="0"/>
              <w:right w:val="single" w:color="auto" w:sz="4" w:space="0"/>
            </w:tcBorders>
            <w:noWrap/>
            <w:vAlign w:val="center"/>
          </w:tcPr>
          <w:p w14:paraId="3403EED1">
            <w:pPr>
              <w:widowControl/>
              <w:jc w:val="center"/>
              <w:rPr>
                <w:rFonts w:ascii="宋体" w:hAnsi="宋体" w:eastAsia="宋体" w:cs="Times New Roman"/>
                <w:b/>
                <w:bCs/>
                <w:color w:val="000000"/>
                <w:kern w:val="0"/>
                <w:sz w:val="22"/>
                <w:szCs w:val="22"/>
              </w:rPr>
            </w:pPr>
            <w:r>
              <w:rPr>
                <w:rFonts w:hint="eastAsia" w:ascii="宋体" w:hAnsi="宋体" w:eastAsia="宋体" w:cs="Times New Roman"/>
                <w:b/>
                <w:bCs/>
                <w:color w:val="000000"/>
                <w:kern w:val="0"/>
                <w:sz w:val="22"/>
                <w:szCs w:val="22"/>
              </w:rPr>
              <w:t>采样基准价格（元/M</w:t>
            </w:r>
            <w:r>
              <w:rPr>
                <w:rFonts w:hint="eastAsia" w:ascii="宋体" w:hAnsi="宋体" w:eastAsia="宋体" w:cs="Times New Roman"/>
                <w:b/>
                <w:bCs/>
                <w:color w:val="000000"/>
                <w:kern w:val="0"/>
                <w:sz w:val="22"/>
                <w:szCs w:val="22"/>
                <w:vertAlign w:val="superscript"/>
              </w:rPr>
              <w:t>2</w:t>
            </w:r>
            <w:r>
              <w:rPr>
                <w:rFonts w:hint="eastAsia" w:ascii="宋体" w:hAnsi="宋体" w:eastAsia="宋体" w:cs="Times New Roman"/>
                <w:b/>
                <w:bCs/>
                <w:color w:val="000000"/>
                <w:kern w:val="0"/>
                <w:sz w:val="22"/>
                <w:szCs w:val="22"/>
              </w:rPr>
              <w:t>)</w:t>
            </w:r>
          </w:p>
        </w:tc>
        <w:tc>
          <w:tcPr>
            <w:tcW w:w="1392" w:type="dxa"/>
            <w:tcBorders>
              <w:top w:val="single" w:color="auto" w:sz="4" w:space="0"/>
              <w:left w:val="nil"/>
              <w:bottom w:val="single" w:color="auto" w:sz="4" w:space="0"/>
              <w:right w:val="single" w:color="auto" w:sz="4" w:space="0"/>
            </w:tcBorders>
            <w:noWrap/>
            <w:vAlign w:val="center"/>
          </w:tcPr>
          <w:p w14:paraId="3B46998A">
            <w:pPr>
              <w:widowControl/>
              <w:jc w:val="center"/>
              <w:rPr>
                <w:rFonts w:ascii="宋体" w:hAnsi="宋体" w:eastAsia="宋体" w:cs="Times New Roman"/>
                <w:b/>
                <w:bCs/>
                <w:color w:val="000000"/>
                <w:kern w:val="0"/>
                <w:sz w:val="22"/>
                <w:szCs w:val="22"/>
              </w:rPr>
            </w:pPr>
            <w:r>
              <w:rPr>
                <w:rFonts w:hint="eastAsia" w:ascii="宋体" w:hAnsi="宋体" w:eastAsia="宋体" w:cs="Times New Roman"/>
                <w:b/>
                <w:bCs/>
                <w:color w:val="000000"/>
                <w:kern w:val="0"/>
                <w:sz w:val="22"/>
                <w:szCs w:val="22"/>
              </w:rPr>
              <w:t>价值时点</w:t>
            </w:r>
          </w:p>
        </w:tc>
      </w:tr>
      <w:tr w14:paraId="076A8A44">
        <w:tblPrEx>
          <w:tblCellMar>
            <w:top w:w="0" w:type="dxa"/>
            <w:left w:w="108" w:type="dxa"/>
            <w:bottom w:w="0" w:type="dxa"/>
            <w:right w:w="108" w:type="dxa"/>
          </w:tblCellMar>
        </w:tblPrEx>
        <w:trPr>
          <w:cantSplit/>
          <w:trHeight w:val="780" w:hRule="atLeast"/>
        </w:trPr>
        <w:tc>
          <w:tcPr>
            <w:tcW w:w="656" w:type="dxa"/>
            <w:vMerge w:val="restart"/>
            <w:tcBorders>
              <w:top w:val="nil"/>
              <w:left w:val="single" w:color="auto" w:sz="4" w:space="0"/>
              <w:bottom w:val="single" w:color="auto" w:sz="4" w:space="0"/>
              <w:right w:val="single" w:color="auto" w:sz="4" w:space="0"/>
            </w:tcBorders>
            <w:noWrap/>
            <w:vAlign w:val="center"/>
          </w:tcPr>
          <w:p w14:paraId="7326698D">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w:t>
            </w:r>
          </w:p>
        </w:tc>
        <w:tc>
          <w:tcPr>
            <w:tcW w:w="2636" w:type="dxa"/>
            <w:vMerge w:val="restart"/>
            <w:tcBorders>
              <w:top w:val="nil"/>
              <w:left w:val="single" w:color="auto" w:sz="4" w:space="0"/>
              <w:bottom w:val="single" w:color="auto" w:sz="4" w:space="0"/>
              <w:right w:val="single" w:color="auto" w:sz="4" w:space="0"/>
            </w:tcBorders>
            <w:noWrap/>
            <w:vAlign w:val="center"/>
          </w:tcPr>
          <w:p w14:paraId="5D14EB0E">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兰景苑二期</w:t>
            </w:r>
          </w:p>
        </w:tc>
        <w:tc>
          <w:tcPr>
            <w:tcW w:w="1477" w:type="dxa"/>
            <w:tcBorders>
              <w:top w:val="nil"/>
              <w:left w:val="nil"/>
              <w:bottom w:val="single" w:color="auto" w:sz="4" w:space="0"/>
              <w:right w:val="single" w:color="auto" w:sz="4" w:space="0"/>
            </w:tcBorders>
            <w:noWrap/>
            <w:vAlign w:val="center"/>
          </w:tcPr>
          <w:p w14:paraId="399E05EC">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多层房屋</w:t>
            </w:r>
          </w:p>
        </w:tc>
        <w:tc>
          <w:tcPr>
            <w:tcW w:w="2361" w:type="dxa"/>
            <w:tcBorders>
              <w:top w:val="nil"/>
              <w:left w:val="nil"/>
              <w:bottom w:val="single" w:color="auto" w:sz="4" w:space="0"/>
              <w:right w:val="single" w:color="auto" w:sz="4" w:space="0"/>
            </w:tcBorders>
            <w:noWrap/>
            <w:vAlign w:val="center"/>
          </w:tcPr>
          <w:p w14:paraId="7B6191A2">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15373</w:t>
            </w:r>
          </w:p>
        </w:tc>
        <w:tc>
          <w:tcPr>
            <w:tcW w:w="1392" w:type="dxa"/>
            <w:vMerge w:val="restart"/>
            <w:tcBorders>
              <w:top w:val="nil"/>
              <w:left w:val="single" w:color="auto" w:sz="4" w:space="0"/>
              <w:bottom w:val="single" w:color="auto" w:sz="4" w:space="0"/>
              <w:right w:val="single" w:color="auto" w:sz="4" w:space="0"/>
            </w:tcBorders>
            <w:noWrap/>
            <w:vAlign w:val="center"/>
          </w:tcPr>
          <w:p w14:paraId="1321E766">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2025/2/18</w:t>
            </w:r>
          </w:p>
        </w:tc>
      </w:tr>
      <w:tr w14:paraId="7B510A51">
        <w:tblPrEx>
          <w:tblCellMar>
            <w:top w:w="0" w:type="dxa"/>
            <w:left w:w="108" w:type="dxa"/>
            <w:bottom w:w="0" w:type="dxa"/>
            <w:right w:w="108" w:type="dxa"/>
          </w:tblCellMar>
        </w:tblPrEx>
        <w:trPr>
          <w:cantSplit/>
          <w:trHeight w:val="780" w:hRule="atLeast"/>
        </w:trPr>
        <w:tc>
          <w:tcPr>
            <w:tcW w:w="656" w:type="dxa"/>
            <w:vMerge w:val="continue"/>
            <w:tcBorders>
              <w:top w:val="nil"/>
              <w:left w:val="single" w:color="auto" w:sz="4" w:space="0"/>
              <w:bottom w:val="single" w:color="auto" w:sz="4" w:space="0"/>
              <w:right w:val="single" w:color="auto" w:sz="4" w:space="0"/>
            </w:tcBorders>
            <w:vAlign w:val="center"/>
          </w:tcPr>
          <w:p w14:paraId="6BB310BA">
            <w:pPr>
              <w:widowControl/>
              <w:jc w:val="left"/>
              <w:rPr>
                <w:rFonts w:ascii="宋体" w:hAnsi="宋体" w:eastAsia="宋体" w:cs="Times New Roman"/>
                <w:color w:val="000000"/>
                <w:kern w:val="0"/>
                <w:sz w:val="22"/>
                <w:szCs w:val="22"/>
              </w:rPr>
            </w:pPr>
          </w:p>
        </w:tc>
        <w:tc>
          <w:tcPr>
            <w:tcW w:w="2636" w:type="dxa"/>
            <w:vMerge w:val="continue"/>
            <w:tcBorders>
              <w:top w:val="nil"/>
              <w:left w:val="single" w:color="auto" w:sz="4" w:space="0"/>
              <w:bottom w:val="single" w:color="auto" w:sz="4" w:space="0"/>
              <w:right w:val="single" w:color="auto" w:sz="4" w:space="0"/>
            </w:tcBorders>
            <w:vAlign w:val="center"/>
          </w:tcPr>
          <w:p w14:paraId="54F795D4">
            <w:pPr>
              <w:widowControl/>
              <w:jc w:val="left"/>
              <w:rPr>
                <w:rFonts w:ascii="宋体" w:hAnsi="宋体" w:eastAsia="宋体" w:cs="Times New Roman"/>
                <w:color w:val="000000"/>
                <w:kern w:val="0"/>
                <w:sz w:val="22"/>
                <w:szCs w:val="22"/>
              </w:rPr>
            </w:pPr>
          </w:p>
        </w:tc>
        <w:tc>
          <w:tcPr>
            <w:tcW w:w="1477" w:type="dxa"/>
            <w:tcBorders>
              <w:top w:val="nil"/>
              <w:left w:val="nil"/>
              <w:bottom w:val="single" w:color="auto" w:sz="4" w:space="0"/>
              <w:right w:val="single" w:color="auto" w:sz="4" w:space="0"/>
            </w:tcBorders>
            <w:noWrap/>
            <w:vAlign w:val="center"/>
          </w:tcPr>
          <w:p w14:paraId="0382E7BE">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汽车库</w:t>
            </w:r>
          </w:p>
        </w:tc>
        <w:tc>
          <w:tcPr>
            <w:tcW w:w="2361" w:type="dxa"/>
            <w:tcBorders>
              <w:top w:val="nil"/>
              <w:left w:val="nil"/>
              <w:bottom w:val="single" w:color="auto" w:sz="4" w:space="0"/>
              <w:right w:val="single" w:color="auto" w:sz="4" w:space="0"/>
            </w:tcBorders>
            <w:noWrap/>
            <w:vAlign w:val="center"/>
          </w:tcPr>
          <w:p w14:paraId="29B0AF34">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6149</w:t>
            </w:r>
          </w:p>
        </w:tc>
        <w:tc>
          <w:tcPr>
            <w:tcW w:w="1392" w:type="dxa"/>
            <w:vMerge w:val="continue"/>
            <w:tcBorders>
              <w:top w:val="nil"/>
              <w:left w:val="single" w:color="auto" w:sz="4" w:space="0"/>
              <w:bottom w:val="single" w:color="auto" w:sz="4" w:space="0"/>
              <w:right w:val="single" w:color="auto" w:sz="4" w:space="0"/>
            </w:tcBorders>
            <w:vAlign w:val="center"/>
          </w:tcPr>
          <w:p w14:paraId="3D48A9CB">
            <w:pPr>
              <w:widowControl/>
              <w:jc w:val="left"/>
              <w:rPr>
                <w:rFonts w:ascii="宋体" w:hAnsi="宋体" w:eastAsia="宋体" w:cs="Times New Roman"/>
                <w:color w:val="000000"/>
                <w:kern w:val="0"/>
                <w:sz w:val="22"/>
                <w:szCs w:val="22"/>
              </w:rPr>
            </w:pPr>
          </w:p>
        </w:tc>
      </w:tr>
      <w:tr w14:paraId="0EC74817">
        <w:tblPrEx>
          <w:tblCellMar>
            <w:top w:w="0" w:type="dxa"/>
            <w:left w:w="108" w:type="dxa"/>
            <w:bottom w:w="0" w:type="dxa"/>
            <w:right w:w="108" w:type="dxa"/>
          </w:tblCellMar>
        </w:tblPrEx>
        <w:trPr>
          <w:cantSplit/>
          <w:trHeight w:val="780" w:hRule="atLeast"/>
        </w:trPr>
        <w:tc>
          <w:tcPr>
            <w:tcW w:w="656" w:type="dxa"/>
            <w:vMerge w:val="continue"/>
            <w:tcBorders>
              <w:top w:val="nil"/>
              <w:left w:val="single" w:color="auto" w:sz="4" w:space="0"/>
              <w:bottom w:val="single" w:color="auto" w:sz="4" w:space="0"/>
              <w:right w:val="single" w:color="auto" w:sz="4" w:space="0"/>
            </w:tcBorders>
            <w:vAlign w:val="center"/>
          </w:tcPr>
          <w:p w14:paraId="3828A085">
            <w:pPr>
              <w:widowControl/>
              <w:jc w:val="left"/>
              <w:rPr>
                <w:rFonts w:ascii="宋体" w:hAnsi="宋体" w:eastAsia="宋体" w:cs="Times New Roman"/>
                <w:color w:val="000000"/>
                <w:kern w:val="0"/>
                <w:sz w:val="22"/>
                <w:szCs w:val="22"/>
              </w:rPr>
            </w:pPr>
          </w:p>
        </w:tc>
        <w:tc>
          <w:tcPr>
            <w:tcW w:w="2636" w:type="dxa"/>
            <w:vMerge w:val="continue"/>
            <w:tcBorders>
              <w:top w:val="nil"/>
              <w:left w:val="single" w:color="auto" w:sz="4" w:space="0"/>
              <w:bottom w:val="single" w:color="auto" w:sz="4" w:space="0"/>
              <w:right w:val="single" w:color="auto" w:sz="4" w:space="0"/>
            </w:tcBorders>
            <w:vAlign w:val="center"/>
          </w:tcPr>
          <w:p w14:paraId="630E4F4B">
            <w:pPr>
              <w:widowControl/>
              <w:jc w:val="left"/>
              <w:rPr>
                <w:rFonts w:ascii="宋体" w:hAnsi="宋体" w:eastAsia="宋体" w:cs="Times New Roman"/>
                <w:color w:val="000000"/>
                <w:kern w:val="0"/>
                <w:sz w:val="22"/>
                <w:szCs w:val="22"/>
              </w:rPr>
            </w:pPr>
          </w:p>
        </w:tc>
        <w:tc>
          <w:tcPr>
            <w:tcW w:w="1477" w:type="dxa"/>
            <w:tcBorders>
              <w:top w:val="nil"/>
              <w:left w:val="nil"/>
              <w:bottom w:val="single" w:color="auto" w:sz="4" w:space="0"/>
              <w:right w:val="single" w:color="auto" w:sz="4" w:space="0"/>
            </w:tcBorders>
            <w:noWrap/>
            <w:vAlign w:val="center"/>
          </w:tcPr>
          <w:p w14:paraId="54BF2230">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自行车库</w:t>
            </w:r>
          </w:p>
        </w:tc>
        <w:tc>
          <w:tcPr>
            <w:tcW w:w="2361" w:type="dxa"/>
            <w:tcBorders>
              <w:top w:val="nil"/>
              <w:left w:val="nil"/>
              <w:bottom w:val="single" w:color="auto" w:sz="4" w:space="0"/>
              <w:right w:val="single" w:color="auto" w:sz="4" w:space="0"/>
            </w:tcBorders>
            <w:noWrap/>
            <w:vAlign w:val="center"/>
          </w:tcPr>
          <w:p w14:paraId="5BEF6912">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3843</w:t>
            </w:r>
          </w:p>
        </w:tc>
        <w:tc>
          <w:tcPr>
            <w:tcW w:w="1392" w:type="dxa"/>
            <w:vMerge w:val="continue"/>
            <w:tcBorders>
              <w:top w:val="nil"/>
              <w:left w:val="single" w:color="auto" w:sz="4" w:space="0"/>
              <w:bottom w:val="single" w:color="auto" w:sz="4" w:space="0"/>
              <w:right w:val="single" w:color="auto" w:sz="4" w:space="0"/>
            </w:tcBorders>
            <w:vAlign w:val="center"/>
          </w:tcPr>
          <w:p w14:paraId="17F29652">
            <w:pPr>
              <w:widowControl/>
              <w:jc w:val="left"/>
              <w:rPr>
                <w:rFonts w:ascii="宋体" w:hAnsi="宋体" w:eastAsia="宋体" w:cs="Times New Roman"/>
                <w:color w:val="000000"/>
                <w:kern w:val="0"/>
                <w:sz w:val="22"/>
                <w:szCs w:val="22"/>
              </w:rPr>
            </w:pPr>
          </w:p>
        </w:tc>
      </w:tr>
      <w:tr w14:paraId="11A966A5">
        <w:tblPrEx>
          <w:tblCellMar>
            <w:top w:w="0" w:type="dxa"/>
            <w:left w:w="108" w:type="dxa"/>
            <w:bottom w:w="0" w:type="dxa"/>
            <w:right w:w="108" w:type="dxa"/>
          </w:tblCellMar>
        </w:tblPrEx>
        <w:trPr>
          <w:trHeight w:val="679" w:hRule="atLeast"/>
        </w:trPr>
        <w:tc>
          <w:tcPr>
            <w:tcW w:w="656" w:type="dxa"/>
            <w:tcBorders>
              <w:top w:val="nil"/>
              <w:left w:val="single" w:color="auto" w:sz="4" w:space="0"/>
              <w:bottom w:val="single" w:color="auto" w:sz="4" w:space="0"/>
              <w:right w:val="single" w:color="auto" w:sz="4" w:space="0"/>
            </w:tcBorders>
            <w:noWrap/>
            <w:vAlign w:val="center"/>
          </w:tcPr>
          <w:p w14:paraId="4F523232">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w:t>
            </w:r>
          </w:p>
        </w:tc>
        <w:tc>
          <w:tcPr>
            <w:tcW w:w="2636" w:type="dxa"/>
            <w:tcBorders>
              <w:top w:val="nil"/>
              <w:left w:val="nil"/>
              <w:bottom w:val="single" w:color="auto" w:sz="4" w:space="0"/>
              <w:right w:val="single" w:color="auto" w:sz="4" w:space="0"/>
            </w:tcBorders>
            <w:noWrap/>
            <w:vAlign w:val="center"/>
          </w:tcPr>
          <w:p w14:paraId="6EDA8EF6">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新秀华庭</w:t>
            </w:r>
          </w:p>
        </w:tc>
        <w:tc>
          <w:tcPr>
            <w:tcW w:w="1477" w:type="dxa"/>
            <w:tcBorders>
              <w:top w:val="nil"/>
              <w:left w:val="nil"/>
              <w:bottom w:val="single" w:color="auto" w:sz="4" w:space="0"/>
              <w:right w:val="single" w:color="auto" w:sz="4" w:space="0"/>
            </w:tcBorders>
            <w:noWrap/>
            <w:vAlign w:val="center"/>
          </w:tcPr>
          <w:p w14:paraId="1BC12029">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小高层房屋</w:t>
            </w:r>
          </w:p>
        </w:tc>
        <w:tc>
          <w:tcPr>
            <w:tcW w:w="2361" w:type="dxa"/>
            <w:tcBorders>
              <w:top w:val="nil"/>
              <w:left w:val="nil"/>
              <w:bottom w:val="single" w:color="auto" w:sz="4" w:space="0"/>
              <w:right w:val="single" w:color="auto" w:sz="4" w:space="0"/>
            </w:tcBorders>
            <w:noWrap/>
            <w:vAlign w:val="center"/>
          </w:tcPr>
          <w:p w14:paraId="15015281">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12380</w:t>
            </w:r>
          </w:p>
        </w:tc>
        <w:tc>
          <w:tcPr>
            <w:tcW w:w="1392" w:type="dxa"/>
            <w:tcBorders>
              <w:top w:val="nil"/>
              <w:left w:val="nil"/>
              <w:bottom w:val="single" w:color="auto" w:sz="4" w:space="0"/>
              <w:right w:val="single" w:color="auto" w:sz="4" w:space="0"/>
            </w:tcBorders>
            <w:noWrap/>
            <w:vAlign w:val="center"/>
          </w:tcPr>
          <w:p w14:paraId="4F2D4B63">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2025/2/18</w:t>
            </w:r>
          </w:p>
        </w:tc>
      </w:tr>
      <w:tr w14:paraId="3E1401E2">
        <w:tblPrEx>
          <w:tblCellMar>
            <w:top w:w="0" w:type="dxa"/>
            <w:left w:w="108" w:type="dxa"/>
            <w:bottom w:w="0" w:type="dxa"/>
            <w:right w:w="108" w:type="dxa"/>
          </w:tblCellMar>
        </w:tblPrEx>
        <w:trPr>
          <w:cantSplit/>
          <w:trHeight w:val="679" w:hRule="atLeast"/>
        </w:trPr>
        <w:tc>
          <w:tcPr>
            <w:tcW w:w="656" w:type="dxa"/>
            <w:vMerge w:val="restart"/>
            <w:tcBorders>
              <w:top w:val="nil"/>
              <w:left w:val="single" w:color="auto" w:sz="4" w:space="0"/>
              <w:bottom w:val="single" w:color="auto" w:sz="4" w:space="0"/>
              <w:right w:val="single" w:color="auto" w:sz="4" w:space="0"/>
            </w:tcBorders>
            <w:noWrap/>
            <w:vAlign w:val="center"/>
          </w:tcPr>
          <w:p w14:paraId="53A8176C">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3</w:t>
            </w:r>
          </w:p>
        </w:tc>
        <w:tc>
          <w:tcPr>
            <w:tcW w:w="2636" w:type="dxa"/>
            <w:vMerge w:val="restart"/>
            <w:tcBorders>
              <w:top w:val="nil"/>
              <w:left w:val="single" w:color="auto" w:sz="4" w:space="0"/>
              <w:bottom w:val="single" w:color="auto" w:sz="4" w:space="0"/>
              <w:right w:val="single" w:color="auto" w:sz="4" w:space="0"/>
            </w:tcBorders>
            <w:noWrap/>
            <w:vAlign w:val="center"/>
          </w:tcPr>
          <w:p w14:paraId="00C58642">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梅景苑</w:t>
            </w:r>
          </w:p>
        </w:tc>
        <w:tc>
          <w:tcPr>
            <w:tcW w:w="1477" w:type="dxa"/>
            <w:tcBorders>
              <w:top w:val="nil"/>
              <w:left w:val="nil"/>
              <w:bottom w:val="single" w:color="auto" w:sz="4" w:space="0"/>
              <w:right w:val="single" w:color="auto" w:sz="4" w:space="0"/>
            </w:tcBorders>
            <w:noWrap/>
            <w:vAlign w:val="center"/>
          </w:tcPr>
          <w:p w14:paraId="477A19B2">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多层房屋</w:t>
            </w:r>
          </w:p>
        </w:tc>
        <w:tc>
          <w:tcPr>
            <w:tcW w:w="2361" w:type="dxa"/>
            <w:tcBorders>
              <w:top w:val="nil"/>
              <w:left w:val="nil"/>
              <w:bottom w:val="single" w:color="auto" w:sz="4" w:space="0"/>
              <w:right w:val="single" w:color="auto" w:sz="4" w:space="0"/>
            </w:tcBorders>
            <w:noWrap/>
            <w:vAlign w:val="center"/>
          </w:tcPr>
          <w:p w14:paraId="2C681B6C">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10765</w:t>
            </w:r>
          </w:p>
        </w:tc>
        <w:tc>
          <w:tcPr>
            <w:tcW w:w="1392" w:type="dxa"/>
            <w:vMerge w:val="restart"/>
            <w:tcBorders>
              <w:top w:val="nil"/>
              <w:left w:val="single" w:color="auto" w:sz="4" w:space="0"/>
              <w:bottom w:val="single" w:color="auto" w:sz="4" w:space="0"/>
              <w:right w:val="single" w:color="auto" w:sz="4" w:space="0"/>
            </w:tcBorders>
            <w:noWrap/>
            <w:vAlign w:val="center"/>
          </w:tcPr>
          <w:p w14:paraId="443F62A9">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2025/2/18</w:t>
            </w:r>
          </w:p>
        </w:tc>
      </w:tr>
      <w:tr w14:paraId="0D1745EA">
        <w:tblPrEx>
          <w:tblCellMar>
            <w:top w:w="0" w:type="dxa"/>
            <w:left w:w="108" w:type="dxa"/>
            <w:bottom w:w="0" w:type="dxa"/>
            <w:right w:w="108" w:type="dxa"/>
          </w:tblCellMar>
        </w:tblPrEx>
        <w:trPr>
          <w:cantSplit/>
          <w:trHeight w:val="679" w:hRule="atLeast"/>
        </w:trPr>
        <w:tc>
          <w:tcPr>
            <w:tcW w:w="656" w:type="dxa"/>
            <w:vMerge w:val="continue"/>
            <w:tcBorders>
              <w:top w:val="nil"/>
              <w:left w:val="single" w:color="auto" w:sz="4" w:space="0"/>
              <w:bottom w:val="single" w:color="auto" w:sz="4" w:space="0"/>
              <w:right w:val="single" w:color="auto" w:sz="4" w:space="0"/>
            </w:tcBorders>
            <w:vAlign w:val="center"/>
          </w:tcPr>
          <w:p w14:paraId="26541215">
            <w:pPr>
              <w:widowControl/>
              <w:jc w:val="left"/>
              <w:rPr>
                <w:rFonts w:ascii="宋体" w:hAnsi="宋体" w:eastAsia="宋体" w:cs="Times New Roman"/>
                <w:color w:val="000000"/>
                <w:kern w:val="0"/>
                <w:sz w:val="22"/>
                <w:szCs w:val="22"/>
              </w:rPr>
            </w:pPr>
          </w:p>
        </w:tc>
        <w:tc>
          <w:tcPr>
            <w:tcW w:w="2636" w:type="dxa"/>
            <w:vMerge w:val="continue"/>
            <w:tcBorders>
              <w:top w:val="nil"/>
              <w:left w:val="single" w:color="auto" w:sz="4" w:space="0"/>
              <w:bottom w:val="single" w:color="auto" w:sz="4" w:space="0"/>
              <w:right w:val="single" w:color="auto" w:sz="4" w:space="0"/>
            </w:tcBorders>
            <w:vAlign w:val="center"/>
          </w:tcPr>
          <w:p w14:paraId="0F9206C8">
            <w:pPr>
              <w:widowControl/>
              <w:jc w:val="left"/>
              <w:rPr>
                <w:rFonts w:ascii="宋体" w:hAnsi="宋体" w:eastAsia="宋体" w:cs="Times New Roman"/>
                <w:color w:val="000000"/>
                <w:kern w:val="0"/>
                <w:sz w:val="22"/>
                <w:szCs w:val="22"/>
              </w:rPr>
            </w:pPr>
          </w:p>
        </w:tc>
        <w:tc>
          <w:tcPr>
            <w:tcW w:w="1477" w:type="dxa"/>
            <w:tcBorders>
              <w:top w:val="nil"/>
              <w:left w:val="nil"/>
              <w:bottom w:val="single" w:color="auto" w:sz="4" w:space="0"/>
              <w:right w:val="single" w:color="auto" w:sz="4" w:space="0"/>
            </w:tcBorders>
            <w:noWrap/>
            <w:vAlign w:val="center"/>
          </w:tcPr>
          <w:p w14:paraId="78406BC3">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汽车库</w:t>
            </w:r>
          </w:p>
        </w:tc>
        <w:tc>
          <w:tcPr>
            <w:tcW w:w="2361" w:type="dxa"/>
            <w:tcBorders>
              <w:top w:val="nil"/>
              <w:left w:val="nil"/>
              <w:bottom w:val="single" w:color="auto" w:sz="4" w:space="0"/>
              <w:right w:val="single" w:color="auto" w:sz="4" w:space="0"/>
            </w:tcBorders>
            <w:noWrap/>
            <w:vAlign w:val="center"/>
          </w:tcPr>
          <w:p w14:paraId="7AE3A513">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4306</w:t>
            </w:r>
          </w:p>
        </w:tc>
        <w:tc>
          <w:tcPr>
            <w:tcW w:w="1392" w:type="dxa"/>
            <w:vMerge w:val="continue"/>
            <w:tcBorders>
              <w:top w:val="nil"/>
              <w:left w:val="single" w:color="auto" w:sz="4" w:space="0"/>
              <w:bottom w:val="single" w:color="auto" w:sz="4" w:space="0"/>
              <w:right w:val="single" w:color="auto" w:sz="4" w:space="0"/>
            </w:tcBorders>
            <w:vAlign w:val="center"/>
          </w:tcPr>
          <w:p w14:paraId="0052645F">
            <w:pPr>
              <w:widowControl/>
              <w:jc w:val="left"/>
              <w:rPr>
                <w:rFonts w:ascii="宋体" w:hAnsi="宋体" w:eastAsia="宋体" w:cs="Times New Roman"/>
                <w:color w:val="000000"/>
                <w:kern w:val="0"/>
                <w:sz w:val="22"/>
                <w:szCs w:val="22"/>
              </w:rPr>
            </w:pPr>
          </w:p>
        </w:tc>
      </w:tr>
      <w:tr w14:paraId="27B70268">
        <w:tblPrEx>
          <w:tblCellMar>
            <w:top w:w="0" w:type="dxa"/>
            <w:left w:w="108" w:type="dxa"/>
            <w:bottom w:w="0" w:type="dxa"/>
            <w:right w:w="108" w:type="dxa"/>
          </w:tblCellMar>
        </w:tblPrEx>
        <w:trPr>
          <w:cantSplit/>
          <w:trHeight w:val="679" w:hRule="atLeast"/>
        </w:trPr>
        <w:tc>
          <w:tcPr>
            <w:tcW w:w="656" w:type="dxa"/>
            <w:vMerge w:val="continue"/>
            <w:tcBorders>
              <w:top w:val="nil"/>
              <w:left w:val="single" w:color="auto" w:sz="4" w:space="0"/>
              <w:bottom w:val="single" w:color="auto" w:sz="4" w:space="0"/>
              <w:right w:val="single" w:color="auto" w:sz="4" w:space="0"/>
            </w:tcBorders>
            <w:vAlign w:val="center"/>
          </w:tcPr>
          <w:p w14:paraId="3F8849AF">
            <w:pPr>
              <w:widowControl/>
              <w:jc w:val="left"/>
              <w:rPr>
                <w:rFonts w:ascii="宋体" w:hAnsi="宋体" w:eastAsia="宋体" w:cs="Times New Roman"/>
                <w:color w:val="000000"/>
                <w:kern w:val="0"/>
                <w:sz w:val="22"/>
                <w:szCs w:val="22"/>
              </w:rPr>
            </w:pPr>
          </w:p>
        </w:tc>
        <w:tc>
          <w:tcPr>
            <w:tcW w:w="2636" w:type="dxa"/>
            <w:vMerge w:val="continue"/>
            <w:tcBorders>
              <w:top w:val="nil"/>
              <w:left w:val="single" w:color="auto" w:sz="4" w:space="0"/>
              <w:bottom w:val="single" w:color="auto" w:sz="4" w:space="0"/>
              <w:right w:val="single" w:color="auto" w:sz="4" w:space="0"/>
            </w:tcBorders>
            <w:vAlign w:val="center"/>
          </w:tcPr>
          <w:p w14:paraId="52B901F2">
            <w:pPr>
              <w:widowControl/>
              <w:jc w:val="left"/>
              <w:rPr>
                <w:rFonts w:ascii="宋体" w:hAnsi="宋体" w:eastAsia="宋体" w:cs="Times New Roman"/>
                <w:color w:val="000000"/>
                <w:kern w:val="0"/>
                <w:sz w:val="22"/>
                <w:szCs w:val="22"/>
              </w:rPr>
            </w:pPr>
          </w:p>
        </w:tc>
        <w:tc>
          <w:tcPr>
            <w:tcW w:w="1477" w:type="dxa"/>
            <w:tcBorders>
              <w:top w:val="nil"/>
              <w:left w:val="nil"/>
              <w:bottom w:val="single" w:color="auto" w:sz="4" w:space="0"/>
              <w:right w:val="single" w:color="auto" w:sz="4" w:space="0"/>
            </w:tcBorders>
            <w:noWrap/>
            <w:vAlign w:val="center"/>
          </w:tcPr>
          <w:p w14:paraId="34FC69BB">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自行车库</w:t>
            </w:r>
          </w:p>
        </w:tc>
        <w:tc>
          <w:tcPr>
            <w:tcW w:w="2361" w:type="dxa"/>
            <w:tcBorders>
              <w:top w:val="nil"/>
              <w:left w:val="nil"/>
              <w:bottom w:val="single" w:color="auto" w:sz="4" w:space="0"/>
              <w:right w:val="single" w:color="auto" w:sz="4" w:space="0"/>
            </w:tcBorders>
            <w:noWrap/>
            <w:vAlign w:val="center"/>
          </w:tcPr>
          <w:p w14:paraId="21FBF01C">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2691</w:t>
            </w:r>
          </w:p>
        </w:tc>
        <w:tc>
          <w:tcPr>
            <w:tcW w:w="1392" w:type="dxa"/>
            <w:vMerge w:val="continue"/>
            <w:tcBorders>
              <w:top w:val="nil"/>
              <w:left w:val="single" w:color="auto" w:sz="4" w:space="0"/>
              <w:bottom w:val="single" w:color="auto" w:sz="4" w:space="0"/>
              <w:right w:val="single" w:color="auto" w:sz="4" w:space="0"/>
            </w:tcBorders>
            <w:vAlign w:val="center"/>
          </w:tcPr>
          <w:p w14:paraId="11935FB2">
            <w:pPr>
              <w:widowControl/>
              <w:jc w:val="left"/>
              <w:rPr>
                <w:rFonts w:ascii="宋体" w:hAnsi="宋体" w:eastAsia="宋体" w:cs="Times New Roman"/>
                <w:color w:val="000000"/>
                <w:kern w:val="0"/>
                <w:sz w:val="22"/>
                <w:szCs w:val="22"/>
              </w:rPr>
            </w:pPr>
          </w:p>
        </w:tc>
      </w:tr>
    </w:tbl>
    <w:p w14:paraId="08076CB9">
      <w:pPr>
        <w:spacing w:line="520" w:lineRule="exact"/>
        <w:rPr>
          <w:rFonts w:ascii="仿宋_GB2312" w:hAnsi="仿宋" w:eastAsia="仿宋_GB2312" w:cs="Times New Roman"/>
          <w:color w:val="000000"/>
          <w:sz w:val="32"/>
          <w:szCs w:val="32"/>
        </w:rPr>
      </w:pPr>
    </w:p>
    <w:p w14:paraId="519AF26A">
      <w:pPr>
        <w:spacing w:line="520" w:lineRule="exact"/>
        <w:rPr>
          <w:rFonts w:ascii="仿宋_GB2312" w:hAnsi="仿宋" w:eastAsia="仿宋_GB2312" w:cs="Times New Roman"/>
          <w:color w:val="000000"/>
          <w:sz w:val="32"/>
          <w:szCs w:val="32"/>
        </w:rPr>
      </w:pPr>
    </w:p>
    <w:p w14:paraId="2E1CAF88">
      <w:pPr>
        <w:spacing w:line="520" w:lineRule="exact"/>
        <w:jc w:val="center"/>
        <w:rPr>
          <w:rFonts w:hint="eastAsia" w:ascii="方正小标宋_GBK" w:hAnsi="方正小标宋_GBK" w:eastAsia="方正小标宋_GBK" w:cs="方正小标宋_GBK"/>
          <w:color w:val="000000"/>
          <w:sz w:val="32"/>
          <w:szCs w:val="32"/>
        </w:rPr>
      </w:pPr>
      <w:r>
        <w:rPr>
          <w:rFonts w:hint="eastAsia" w:ascii="方正小标宋_GBK" w:hAnsi="方正小标宋_GBK" w:eastAsia="方正小标宋_GBK" w:cs="方正小标宋_GBK"/>
          <w:color w:val="000000"/>
          <w:sz w:val="32"/>
          <w:szCs w:val="32"/>
        </w:rPr>
        <w:t>附表2：兰景苑、梅景苑楼层修正系数表</w:t>
      </w:r>
    </w:p>
    <w:tbl>
      <w:tblPr>
        <w:tblStyle w:val="4"/>
        <w:tblW w:w="6460" w:type="dxa"/>
        <w:jc w:val="center"/>
        <w:tblLayout w:type="autofit"/>
        <w:tblCellMar>
          <w:top w:w="0" w:type="dxa"/>
          <w:left w:w="108" w:type="dxa"/>
          <w:bottom w:w="0" w:type="dxa"/>
          <w:right w:w="108" w:type="dxa"/>
        </w:tblCellMar>
      </w:tblPr>
      <w:tblGrid>
        <w:gridCol w:w="1900"/>
        <w:gridCol w:w="2300"/>
        <w:gridCol w:w="2260"/>
      </w:tblGrid>
      <w:tr w14:paraId="39D42ADD">
        <w:tblPrEx>
          <w:tblCellMar>
            <w:top w:w="0" w:type="dxa"/>
            <w:left w:w="108" w:type="dxa"/>
            <w:bottom w:w="0" w:type="dxa"/>
            <w:right w:w="108" w:type="dxa"/>
          </w:tblCellMar>
        </w:tblPrEx>
        <w:trPr>
          <w:cantSplit/>
          <w:trHeight w:val="312" w:hRule="atLeast"/>
          <w:jc w:val="center"/>
        </w:trPr>
        <w:tc>
          <w:tcPr>
            <w:tcW w:w="1900" w:type="dxa"/>
            <w:vMerge w:val="restart"/>
            <w:tcBorders>
              <w:top w:val="single" w:color="auto" w:sz="4" w:space="0"/>
              <w:left w:val="single" w:color="auto" w:sz="4" w:space="0"/>
              <w:bottom w:val="single" w:color="auto" w:sz="4" w:space="0"/>
              <w:right w:val="single" w:color="auto" w:sz="4" w:space="0"/>
            </w:tcBorders>
            <w:noWrap/>
            <w:vAlign w:val="center"/>
          </w:tcPr>
          <w:p w14:paraId="6812AFC7">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所在楼层</w:t>
            </w:r>
          </w:p>
        </w:tc>
        <w:tc>
          <w:tcPr>
            <w:tcW w:w="2300" w:type="dxa"/>
            <w:vMerge w:val="restart"/>
            <w:tcBorders>
              <w:top w:val="single" w:color="auto" w:sz="4" w:space="0"/>
              <w:left w:val="single" w:color="auto" w:sz="4" w:space="0"/>
              <w:bottom w:val="single" w:color="auto" w:sz="4" w:space="0"/>
              <w:right w:val="single" w:color="auto" w:sz="4" w:space="0"/>
            </w:tcBorders>
            <w:noWrap/>
            <w:vAlign w:val="center"/>
          </w:tcPr>
          <w:p w14:paraId="68A1C6ED">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修正系数</w:t>
            </w:r>
          </w:p>
        </w:tc>
        <w:tc>
          <w:tcPr>
            <w:tcW w:w="2260" w:type="dxa"/>
            <w:vMerge w:val="restart"/>
            <w:tcBorders>
              <w:top w:val="single" w:color="auto" w:sz="4" w:space="0"/>
              <w:left w:val="single" w:color="auto" w:sz="4" w:space="0"/>
              <w:bottom w:val="single" w:color="auto" w:sz="4" w:space="0"/>
              <w:right w:val="single" w:color="auto" w:sz="4" w:space="0"/>
            </w:tcBorders>
            <w:noWrap/>
            <w:vAlign w:val="center"/>
          </w:tcPr>
          <w:p w14:paraId="12C97634">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备注</w:t>
            </w:r>
          </w:p>
        </w:tc>
      </w:tr>
      <w:tr w14:paraId="6963FD29">
        <w:tblPrEx>
          <w:tblCellMar>
            <w:top w:w="0" w:type="dxa"/>
            <w:left w:w="108" w:type="dxa"/>
            <w:bottom w:w="0" w:type="dxa"/>
            <w:right w:w="108" w:type="dxa"/>
          </w:tblCellMar>
        </w:tblPrEx>
        <w:trPr>
          <w:cantSplit/>
          <w:trHeight w:val="312" w:hRule="atLeast"/>
          <w:jc w:val="center"/>
        </w:trPr>
        <w:tc>
          <w:tcPr>
            <w:tcW w:w="1900" w:type="dxa"/>
            <w:vMerge w:val="continue"/>
            <w:tcBorders>
              <w:top w:val="single" w:color="auto" w:sz="4" w:space="0"/>
              <w:left w:val="single" w:color="auto" w:sz="4" w:space="0"/>
              <w:bottom w:val="single" w:color="auto" w:sz="4" w:space="0"/>
              <w:right w:val="single" w:color="auto" w:sz="4" w:space="0"/>
            </w:tcBorders>
            <w:vAlign w:val="center"/>
          </w:tcPr>
          <w:p w14:paraId="3D074059">
            <w:pPr>
              <w:widowControl/>
              <w:jc w:val="left"/>
              <w:rPr>
                <w:rFonts w:ascii="宋体" w:hAnsi="宋体" w:eastAsia="宋体" w:cs="Times New Roman"/>
                <w:color w:val="000000"/>
                <w:kern w:val="0"/>
                <w:sz w:val="22"/>
                <w:szCs w:val="22"/>
              </w:rPr>
            </w:pPr>
          </w:p>
        </w:tc>
        <w:tc>
          <w:tcPr>
            <w:tcW w:w="2300" w:type="dxa"/>
            <w:vMerge w:val="continue"/>
            <w:tcBorders>
              <w:top w:val="single" w:color="auto" w:sz="4" w:space="0"/>
              <w:left w:val="single" w:color="auto" w:sz="4" w:space="0"/>
              <w:bottom w:val="single" w:color="auto" w:sz="4" w:space="0"/>
              <w:right w:val="single" w:color="auto" w:sz="4" w:space="0"/>
            </w:tcBorders>
            <w:vAlign w:val="center"/>
          </w:tcPr>
          <w:p w14:paraId="2FF13601">
            <w:pPr>
              <w:widowControl/>
              <w:jc w:val="left"/>
              <w:rPr>
                <w:rFonts w:ascii="宋体" w:hAnsi="宋体" w:eastAsia="宋体" w:cs="Times New Roman"/>
                <w:color w:val="000000"/>
                <w:kern w:val="0"/>
                <w:sz w:val="22"/>
                <w:szCs w:val="22"/>
              </w:rPr>
            </w:pPr>
          </w:p>
        </w:tc>
        <w:tc>
          <w:tcPr>
            <w:tcW w:w="2260" w:type="dxa"/>
            <w:vMerge w:val="continue"/>
            <w:tcBorders>
              <w:top w:val="single" w:color="auto" w:sz="4" w:space="0"/>
              <w:left w:val="single" w:color="auto" w:sz="4" w:space="0"/>
              <w:bottom w:val="single" w:color="auto" w:sz="4" w:space="0"/>
              <w:right w:val="single" w:color="auto" w:sz="4" w:space="0"/>
            </w:tcBorders>
            <w:vAlign w:val="center"/>
          </w:tcPr>
          <w:p w14:paraId="43836BE7">
            <w:pPr>
              <w:widowControl/>
              <w:jc w:val="left"/>
              <w:rPr>
                <w:rFonts w:ascii="宋体" w:hAnsi="宋体" w:eastAsia="宋体" w:cs="Times New Roman"/>
                <w:color w:val="000000"/>
                <w:kern w:val="0"/>
                <w:sz w:val="22"/>
                <w:szCs w:val="22"/>
              </w:rPr>
            </w:pPr>
          </w:p>
        </w:tc>
      </w:tr>
      <w:tr w14:paraId="15F07793">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20C078FD">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第1层</w:t>
            </w:r>
          </w:p>
        </w:tc>
        <w:tc>
          <w:tcPr>
            <w:tcW w:w="2300" w:type="dxa"/>
            <w:tcBorders>
              <w:top w:val="nil"/>
              <w:left w:val="nil"/>
              <w:bottom w:val="single" w:color="auto" w:sz="4" w:space="0"/>
              <w:right w:val="single" w:color="auto" w:sz="4" w:space="0"/>
            </w:tcBorders>
            <w:noWrap/>
            <w:vAlign w:val="center"/>
          </w:tcPr>
          <w:p w14:paraId="736BCA7C">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0.00%</w:t>
            </w:r>
          </w:p>
        </w:tc>
        <w:tc>
          <w:tcPr>
            <w:tcW w:w="2260" w:type="dxa"/>
            <w:tcBorders>
              <w:top w:val="nil"/>
              <w:left w:val="nil"/>
              <w:bottom w:val="single" w:color="auto" w:sz="4" w:space="0"/>
              <w:right w:val="single" w:color="auto" w:sz="4" w:space="0"/>
            </w:tcBorders>
            <w:noWrap/>
            <w:vAlign w:val="center"/>
          </w:tcPr>
          <w:p w14:paraId="0541732A">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64D68CFD">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26CF19B5">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第2层</w:t>
            </w:r>
          </w:p>
        </w:tc>
        <w:tc>
          <w:tcPr>
            <w:tcW w:w="2300" w:type="dxa"/>
            <w:tcBorders>
              <w:top w:val="nil"/>
              <w:left w:val="nil"/>
              <w:bottom w:val="single" w:color="auto" w:sz="4" w:space="0"/>
              <w:right w:val="single" w:color="auto" w:sz="4" w:space="0"/>
            </w:tcBorders>
            <w:noWrap/>
            <w:vAlign w:val="center"/>
          </w:tcPr>
          <w:p w14:paraId="7CF39F44">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1.50%</w:t>
            </w:r>
          </w:p>
        </w:tc>
        <w:tc>
          <w:tcPr>
            <w:tcW w:w="2260" w:type="dxa"/>
            <w:tcBorders>
              <w:top w:val="nil"/>
              <w:left w:val="nil"/>
              <w:bottom w:val="single" w:color="auto" w:sz="4" w:space="0"/>
              <w:right w:val="single" w:color="auto" w:sz="4" w:space="0"/>
            </w:tcBorders>
            <w:noWrap/>
            <w:vAlign w:val="center"/>
          </w:tcPr>
          <w:p w14:paraId="6E5F51E1">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334165C8">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1B28EB7A">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第3层</w:t>
            </w:r>
          </w:p>
        </w:tc>
        <w:tc>
          <w:tcPr>
            <w:tcW w:w="2300" w:type="dxa"/>
            <w:tcBorders>
              <w:top w:val="nil"/>
              <w:left w:val="nil"/>
              <w:bottom w:val="single" w:color="auto" w:sz="4" w:space="0"/>
              <w:right w:val="single" w:color="auto" w:sz="4" w:space="0"/>
            </w:tcBorders>
            <w:noWrap/>
            <w:vAlign w:val="center"/>
          </w:tcPr>
          <w:p w14:paraId="3BD45060">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2.00%</w:t>
            </w:r>
          </w:p>
        </w:tc>
        <w:tc>
          <w:tcPr>
            <w:tcW w:w="2260" w:type="dxa"/>
            <w:tcBorders>
              <w:top w:val="nil"/>
              <w:left w:val="nil"/>
              <w:bottom w:val="single" w:color="auto" w:sz="4" w:space="0"/>
              <w:right w:val="single" w:color="auto" w:sz="4" w:space="0"/>
            </w:tcBorders>
            <w:noWrap/>
            <w:vAlign w:val="center"/>
          </w:tcPr>
          <w:p w14:paraId="050C13E3">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617B7952">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26D9B821">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第4层</w:t>
            </w:r>
          </w:p>
        </w:tc>
        <w:tc>
          <w:tcPr>
            <w:tcW w:w="2300" w:type="dxa"/>
            <w:tcBorders>
              <w:top w:val="nil"/>
              <w:left w:val="nil"/>
              <w:bottom w:val="single" w:color="auto" w:sz="4" w:space="0"/>
              <w:right w:val="single" w:color="auto" w:sz="4" w:space="0"/>
            </w:tcBorders>
            <w:noWrap/>
            <w:vAlign w:val="center"/>
          </w:tcPr>
          <w:p w14:paraId="73765314">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1.50%</w:t>
            </w:r>
          </w:p>
        </w:tc>
        <w:tc>
          <w:tcPr>
            <w:tcW w:w="2260" w:type="dxa"/>
            <w:tcBorders>
              <w:top w:val="nil"/>
              <w:left w:val="nil"/>
              <w:bottom w:val="single" w:color="auto" w:sz="4" w:space="0"/>
              <w:right w:val="single" w:color="auto" w:sz="4" w:space="0"/>
            </w:tcBorders>
            <w:noWrap/>
            <w:vAlign w:val="center"/>
          </w:tcPr>
          <w:p w14:paraId="75ADC67F">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5DD4A808">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467053F9">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第5层</w:t>
            </w:r>
          </w:p>
        </w:tc>
        <w:tc>
          <w:tcPr>
            <w:tcW w:w="2300" w:type="dxa"/>
            <w:tcBorders>
              <w:top w:val="nil"/>
              <w:left w:val="nil"/>
              <w:bottom w:val="single" w:color="auto" w:sz="4" w:space="0"/>
              <w:right w:val="single" w:color="auto" w:sz="4" w:space="0"/>
            </w:tcBorders>
            <w:noWrap/>
            <w:vAlign w:val="center"/>
          </w:tcPr>
          <w:p w14:paraId="2428230F">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0%（坡顶0.5%）</w:t>
            </w:r>
          </w:p>
        </w:tc>
        <w:tc>
          <w:tcPr>
            <w:tcW w:w="2260" w:type="dxa"/>
            <w:tcBorders>
              <w:top w:val="nil"/>
              <w:left w:val="nil"/>
              <w:bottom w:val="single" w:color="auto" w:sz="4" w:space="0"/>
              <w:right w:val="single" w:color="auto" w:sz="4" w:space="0"/>
            </w:tcBorders>
            <w:noWrap/>
            <w:vAlign w:val="center"/>
          </w:tcPr>
          <w:p w14:paraId="602A10F0">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bl>
    <w:p w14:paraId="662412FB">
      <w:pPr>
        <w:spacing w:line="520" w:lineRule="exact"/>
        <w:rPr>
          <w:rFonts w:ascii="仿宋_GB2312" w:hAnsi="仿宋" w:eastAsia="仿宋_GB2312" w:cs="Times New Roman"/>
          <w:color w:val="000000"/>
          <w:sz w:val="32"/>
          <w:szCs w:val="32"/>
        </w:rPr>
      </w:pPr>
    </w:p>
    <w:p w14:paraId="07CF1838">
      <w:pPr>
        <w:spacing w:line="520" w:lineRule="exact"/>
        <w:rPr>
          <w:rFonts w:ascii="仿宋_GB2312" w:hAnsi="仿宋" w:eastAsia="仿宋_GB2312" w:cs="Times New Roman"/>
          <w:color w:val="000000"/>
          <w:sz w:val="32"/>
          <w:szCs w:val="32"/>
        </w:rPr>
      </w:pPr>
    </w:p>
    <w:p w14:paraId="0D6A1BAA">
      <w:pPr>
        <w:spacing w:line="520" w:lineRule="exact"/>
        <w:jc w:val="center"/>
        <w:rPr>
          <w:rFonts w:hint="eastAsia" w:ascii="方正小标宋_GBK" w:hAnsi="方正小标宋_GBK" w:eastAsia="方正小标宋_GBK" w:cs="方正小标宋_GBK"/>
          <w:color w:val="000000"/>
          <w:sz w:val="32"/>
          <w:szCs w:val="32"/>
        </w:rPr>
      </w:pPr>
      <w:r>
        <w:rPr>
          <w:rFonts w:hint="eastAsia" w:ascii="方正小标宋_GBK" w:hAnsi="方正小标宋_GBK" w:eastAsia="方正小标宋_GBK" w:cs="方正小标宋_GBK"/>
          <w:color w:val="000000"/>
          <w:sz w:val="32"/>
          <w:szCs w:val="32"/>
        </w:rPr>
        <w:t>附表3：新秀华庭楼层修正系数表</w:t>
      </w:r>
    </w:p>
    <w:tbl>
      <w:tblPr>
        <w:tblStyle w:val="4"/>
        <w:tblW w:w="6460" w:type="dxa"/>
        <w:jc w:val="center"/>
        <w:tblLayout w:type="autofit"/>
        <w:tblCellMar>
          <w:top w:w="0" w:type="dxa"/>
          <w:left w:w="108" w:type="dxa"/>
          <w:bottom w:w="0" w:type="dxa"/>
          <w:right w:w="108" w:type="dxa"/>
        </w:tblCellMar>
      </w:tblPr>
      <w:tblGrid>
        <w:gridCol w:w="1900"/>
        <w:gridCol w:w="2300"/>
        <w:gridCol w:w="2260"/>
      </w:tblGrid>
      <w:tr w14:paraId="61EBB922">
        <w:tblPrEx>
          <w:tblCellMar>
            <w:top w:w="0" w:type="dxa"/>
            <w:left w:w="108" w:type="dxa"/>
            <w:bottom w:w="0" w:type="dxa"/>
            <w:right w:w="108" w:type="dxa"/>
          </w:tblCellMar>
        </w:tblPrEx>
        <w:trPr>
          <w:cantSplit/>
          <w:trHeight w:val="312" w:hRule="atLeast"/>
          <w:jc w:val="center"/>
        </w:trPr>
        <w:tc>
          <w:tcPr>
            <w:tcW w:w="1900" w:type="dxa"/>
            <w:vMerge w:val="restart"/>
            <w:tcBorders>
              <w:top w:val="single" w:color="auto" w:sz="4" w:space="0"/>
              <w:left w:val="single" w:color="auto" w:sz="4" w:space="0"/>
              <w:bottom w:val="single" w:color="auto" w:sz="4" w:space="0"/>
              <w:right w:val="single" w:color="auto" w:sz="4" w:space="0"/>
            </w:tcBorders>
            <w:noWrap/>
            <w:vAlign w:val="center"/>
          </w:tcPr>
          <w:p w14:paraId="1D0112DE">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所在楼层</w:t>
            </w:r>
          </w:p>
        </w:tc>
        <w:tc>
          <w:tcPr>
            <w:tcW w:w="2300" w:type="dxa"/>
            <w:vMerge w:val="restart"/>
            <w:tcBorders>
              <w:top w:val="single" w:color="auto" w:sz="4" w:space="0"/>
              <w:left w:val="single" w:color="auto" w:sz="4" w:space="0"/>
              <w:bottom w:val="single" w:color="auto" w:sz="4" w:space="0"/>
              <w:right w:val="single" w:color="auto" w:sz="4" w:space="0"/>
            </w:tcBorders>
            <w:noWrap/>
            <w:vAlign w:val="center"/>
          </w:tcPr>
          <w:p w14:paraId="4EA6FCB0">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修正系数</w:t>
            </w:r>
          </w:p>
        </w:tc>
        <w:tc>
          <w:tcPr>
            <w:tcW w:w="2260" w:type="dxa"/>
            <w:vMerge w:val="restart"/>
            <w:tcBorders>
              <w:top w:val="single" w:color="auto" w:sz="4" w:space="0"/>
              <w:left w:val="single" w:color="auto" w:sz="4" w:space="0"/>
              <w:bottom w:val="single" w:color="auto" w:sz="4" w:space="0"/>
              <w:right w:val="single" w:color="auto" w:sz="4" w:space="0"/>
            </w:tcBorders>
            <w:noWrap/>
            <w:vAlign w:val="center"/>
          </w:tcPr>
          <w:p w14:paraId="7985D576">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备注</w:t>
            </w:r>
          </w:p>
        </w:tc>
      </w:tr>
      <w:tr w14:paraId="0C83F277">
        <w:tblPrEx>
          <w:tblCellMar>
            <w:top w:w="0" w:type="dxa"/>
            <w:left w:w="108" w:type="dxa"/>
            <w:bottom w:w="0" w:type="dxa"/>
            <w:right w:w="108" w:type="dxa"/>
          </w:tblCellMar>
        </w:tblPrEx>
        <w:trPr>
          <w:cantSplit/>
          <w:trHeight w:val="312" w:hRule="atLeast"/>
          <w:jc w:val="center"/>
        </w:trPr>
        <w:tc>
          <w:tcPr>
            <w:tcW w:w="1900" w:type="dxa"/>
            <w:vMerge w:val="continue"/>
            <w:tcBorders>
              <w:top w:val="single" w:color="auto" w:sz="4" w:space="0"/>
              <w:left w:val="single" w:color="auto" w:sz="4" w:space="0"/>
              <w:bottom w:val="single" w:color="auto" w:sz="4" w:space="0"/>
              <w:right w:val="single" w:color="auto" w:sz="4" w:space="0"/>
            </w:tcBorders>
            <w:vAlign w:val="center"/>
          </w:tcPr>
          <w:p w14:paraId="50137E4E">
            <w:pPr>
              <w:widowControl/>
              <w:jc w:val="left"/>
              <w:rPr>
                <w:rFonts w:ascii="宋体" w:hAnsi="宋体" w:eastAsia="宋体" w:cs="Times New Roman"/>
                <w:color w:val="000000"/>
                <w:kern w:val="0"/>
                <w:sz w:val="22"/>
                <w:szCs w:val="22"/>
              </w:rPr>
            </w:pPr>
          </w:p>
        </w:tc>
        <w:tc>
          <w:tcPr>
            <w:tcW w:w="2300" w:type="dxa"/>
            <w:vMerge w:val="continue"/>
            <w:tcBorders>
              <w:top w:val="single" w:color="auto" w:sz="4" w:space="0"/>
              <w:left w:val="single" w:color="auto" w:sz="4" w:space="0"/>
              <w:bottom w:val="single" w:color="auto" w:sz="4" w:space="0"/>
              <w:right w:val="single" w:color="auto" w:sz="4" w:space="0"/>
            </w:tcBorders>
            <w:vAlign w:val="center"/>
          </w:tcPr>
          <w:p w14:paraId="498303DB">
            <w:pPr>
              <w:widowControl/>
              <w:jc w:val="left"/>
              <w:rPr>
                <w:rFonts w:ascii="宋体" w:hAnsi="宋体" w:eastAsia="宋体" w:cs="Times New Roman"/>
                <w:color w:val="000000"/>
                <w:kern w:val="0"/>
                <w:sz w:val="22"/>
                <w:szCs w:val="22"/>
              </w:rPr>
            </w:pPr>
          </w:p>
        </w:tc>
        <w:tc>
          <w:tcPr>
            <w:tcW w:w="2260" w:type="dxa"/>
            <w:vMerge w:val="continue"/>
            <w:tcBorders>
              <w:top w:val="single" w:color="auto" w:sz="4" w:space="0"/>
              <w:left w:val="single" w:color="auto" w:sz="4" w:space="0"/>
              <w:bottom w:val="single" w:color="auto" w:sz="4" w:space="0"/>
              <w:right w:val="single" w:color="auto" w:sz="4" w:space="0"/>
            </w:tcBorders>
            <w:vAlign w:val="center"/>
          </w:tcPr>
          <w:p w14:paraId="6E5C87B1">
            <w:pPr>
              <w:widowControl/>
              <w:jc w:val="left"/>
              <w:rPr>
                <w:rFonts w:ascii="宋体" w:hAnsi="宋体" w:eastAsia="宋体" w:cs="Times New Roman"/>
                <w:color w:val="000000"/>
                <w:kern w:val="0"/>
                <w:sz w:val="22"/>
                <w:szCs w:val="22"/>
              </w:rPr>
            </w:pPr>
          </w:p>
        </w:tc>
      </w:tr>
      <w:tr w14:paraId="175E6728">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0E0AF646">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第1层</w:t>
            </w:r>
          </w:p>
        </w:tc>
        <w:tc>
          <w:tcPr>
            <w:tcW w:w="2300" w:type="dxa"/>
            <w:tcBorders>
              <w:top w:val="nil"/>
              <w:left w:val="nil"/>
              <w:bottom w:val="single" w:color="auto" w:sz="4" w:space="0"/>
              <w:right w:val="single" w:color="auto" w:sz="4" w:space="0"/>
            </w:tcBorders>
            <w:noWrap/>
            <w:vAlign w:val="center"/>
          </w:tcPr>
          <w:p w14:paraId="3AF741CE">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0.00%</w:t>
            </w:r>
          </w:p>
        </w:tc>
        <w:tc>
          <w:tcPr>
            <w:tcW w:w="2260" w:type="dxa"/>
            <w:tcBorders>
              <w:top w:val="nil"/>
              <w:left w:val="nil"/>
              <w:bottom w:val="single" w:color="auto" w:sz="4" w:space="0"/>
              <w:right w:val="single" w:color="auto" w:sz="4" w:space="0"/>
            </w:tcBorders>
            <w:noWrap/>
            <w:vAlign w:val="center"/>
          </w:tcPr>
          <w:p w14:paraId="7EC0180E">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7307B1C8">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7E340F70">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第2层</w:t>
            </w:r>
          </w:p>
        </w:tc>
        <w:tc>
          <w:tcPr>
            <w:tcW w:w="2300" w:type="dxa"/>
            <w:tcBorders>
              <w:top w:val="nil"/>
              <w:left w:val="nil"/>
              <w:bottom w:val="single" w:color="auto" w:sz="4" w:space="0"/>
              <w:right w:val="single" w:color="auto" w:sz="4" w:space="0"/>
            </w:tcBorders>
            <w:noWrap/>
            <w:vAlign w:val="center"/>
          </w:tcPr>
          <w:p w14:paraId="244854FB">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0.50%</w:t>
            </w:r>
          </w:p>
        </w:tc>
        <w:tc>
          <w:tcPr>
            <w:tcW w:w="2260" w:type="dxa"/>
            <w:tcBorders>
              <w:top w:val="nil"/>
              <w:left w:val="nil"/>
              <w:bottom w:val="single" w:color="auto" w:sz="4" w:space="0"/>
              <w:right w:val="single" w:color="auto" w:sz="4" w:space="0"/>
            </w:tcBorders>
            <w:noWrap/>
            <w:vAlign w:val="center"/>
          </w:tcPr>
          <w:p w14:paraId="0DC14020">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6CB7E703">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684173C9">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第3层</w:t>
            </w:r>
          </w:p>
        </w:tc>
        <w:tc>
          <w:tcPr>
            <w:tcW w:w="2300" w:type="dxa"/>
            <w:tcBorders>
              <w:top w:val="nil"/>
              <w:left w:val="nil"/>
              <w:bottom w:val="single" w:color="auto" w:sz="4" w:space="0"/>
              <w:right w:val="single" w:color="auto" w:sz="4" w:space="0"/>
            </w:tcBorders>
            <w:noWrap/>
            <w:vAlign w:val="center"/>
          </w:tcPr>
          <w:p w14:paraId="2D8C58EE">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1.00%</w:t>
            </w:r>
          </w:p>
        </w:tc>
        <w:tc>
          <w:tcPr>
            <w:tcW w:w="2260" w:type="dxa"/>
            <w:tcBorders>
              <w:top w:val="nil"/>
              <w:left w:val="nil"/>
              <w:bottom w:val="single" w:color="auto" w:sz="4" w:space="0"/>
              <w:right w:val="single" w:color="auto" w:sz="4" w:space="0"/>
            </w:tcBorders>
            <w:noWrap/>
            <w:vAlign w:val="center"/>
          </w:tcPr>
          <w:p w14:paraId="0BE16FCB">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41ED5B3D">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42E371CD">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第4层</w:t>
            </w:r>
          </w:p>
        </w:tc>
        <w:tc>
          <w:tcPr>
            <w:tcW w:w="2300" w:type="dxa"/>
            <w:tcBorders>
              <w:top w:val="nil"/>
              <w:left w:val="nil"/>
              <w:bottom w:val="single" w:color="auto" w:sz="4" w:space="0"/>
              <w:right w:val="single" w:color="auto" w:sz="4" w:space="0"/>
            </w:tcBorders>
            <w:noWrap/>
            <w:vAlign w:val="center"/>
          </w:tcPr>
          <w:p w14:paraId="35F41E09">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1.50%</w:t>
            </w:r>
          </w:p>
        </w:tc>
        <w:tc>
          <w:tcPr>
            <w:tcW w:w="2260" w:type="dxa"/>
            <w:tcBorders>
              <w:top w:val="nil"/>
              <w:left w:val="nil"/>
              <w:bottom w:val="single" w:color="auto" w:sz="4" w:space="0"/>
              <w:right w:val="single" w:color="auto" w:sz="4" w:space="0"/>
            </w:tcBorders>
            <w:noWrap/>
            <w:vAlign w:val="center"/>
          </w:tcPr>
          <w:p w14:paraId="4978278C">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39D3FD06">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7239870A">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第5层</w:t>
            </w:r>
          </w:p>
        </w:tc>
        <w:tc>
          <w:tcPr>
            <w:tcW w:w="2300" w:type="dxa"/>
            <w:tcBorders>
              <w:top w:val="nil"/>
              <w:left w:val="nil"/>
              <w:bottom w:val="single" w:color="auto" w:sz="4" w:space="0"/>
              <w:right w:val="single" w:color="auto" w:sz="4" w:space="0"/>
            </w:tcBorders>
            <w:noWrap/>
            <w:vAlign w:val="center"/>
          </w:tcPr>
          <w:p w14:paraId="35257A81">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2.00%</w:t>
            </w:r>
          </w:p>
        </w:tc>
        <w:tc>
          <w:tcPr>
            <w:tcW w:w="2260" w:type="dxa"/>
            <w:tcBorders>
              <w:top w:val="nil"/>
              <w:left w:val="nil"/>
              <w:bottom w:val="single" w:color="auto" w:sz="4" w:space="0"/>
              <w:right w:val="single" w:color="auto" w:sz="4" w:space="0"/>
            </w:tcBorders>
            <w:noWrap/>
            <w:vAlign w:val="center"/>
          </w:tcPr>
          <w:p w14:paraId="203B4096">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5ADBEBA0">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0791C2B5">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第6层</w:t>
            </w:r>
          </w:p>
        </w:tc>
        <w:tc>
          <w:tcPr>
            <w:tcW w:w="2300" w:type="dxa"/>
            <w:tcBorders>
              <w:top w:val="nil"/>
              <w:left w:val="nil"/>
              <w:bottom w:val="single" w:color="auto" w:sz="4" w:space="0"/>
              <w:right w:val="single" w:color="auto" w:sz="4" w:space="0"/>
            </w:tcBorders>
            <w:noWrap/>
            <w:vAlign w:val="center"/>
          </w:tcPr>
          <w:p w14:paraId="7EACAF4A">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2.50%</w:t>
            </w:r>
          </w:p>
        </w:tc>
        <w:tc>
          <w:tcPr>
            <w:tcW w:w="2260" w:type="dxa"/>
            <w:tcBorders>
              <w:top w:val="nil"/>
              <w:left w:val="nil"/>
              <w:bottom w:val="single" w:color="auto" w:sz="4" w:space="0"/>
              <w:right w:val="single" w:color="auto" w:sz="4" w:space="0"/>
            </w:tcBorders>
            <w:noWrap/>
            <w:vAlign w:val="center"/>
          </w:tcPr>
          <w:p w14:paraId="23FCBB43">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776110ED">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19856ECA">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第7层</w:t>
            </w:r>
          </w:p>
        </w:tc>
        <w:tc>
          <w:tcPr>
            <w:tcW w:w="2300" w:type="dxa"/>
            <w:tcBorders>
              <w:top w:val="nil"/>
              <w:left w:val="nil"/>
              <w:bottom w:val="single" w:color="auto" w:sz="4" w:space="0"/>
              <w:right w:val="single" w:color="auto" w:sz="4" w:space="0"/>
            </w:tcBorders>
            <w:noWrap/>
            <w:vAlign w:val="center"/>
          </w:tcPr>
          <w:p w14:paraId="0B570EFB">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3.00%</w:t>
            </w:r>
          </w:p>
        </w:tc>
        <w:tc>
          <w:tcPr>
            <w:tcW w:w="2260" w:type="dxa"/>
            <w:tcBorders>
              <w:top w:val="nil"/>
              <w:left w:val="nil"/>
              <w:bottom w:val="single" w:color="auto" w:sz="4" w:space="0"/>
              <w:right w:val="single" w:color="auto" w:sz="4" w:space="0"/>
            </w:tcBorders>
            <w:noWrap/>
            <w:vAlign w:val="center"/>
          </w:tcPr>
          <w:p w14:paraId="5DA11C94">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1AE4343B">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27A05DD5">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第8层</w:t>
            </w:r>
          </w:p>
        </w:tc>
        <w:tc>
          <w:tcPr>
            <w:tcW w:w="2300" w:type="dxa"/>
            <w:tcBorders>
              <w:top w:val="nil"/>
              <w:left w:val="nil"/>
              <w:bottom w:val="single" w:color="auto" w:sz="4" w:space="0"/>
              <w:right w:val="single" w:color="auto" w:sz="4" w:space="0"/>
            </w:tcBorders>
            <w:noWrap/>
            <w:vAlign w:val="center"/>
          </w:tcPr>
          <w:p w14:paraId="3EF9F053">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3.50%</w:t>
            </w:r>
          </w:p>
        </w:tc>
        <w:tc>
          <w:tcPr>
            <w:tcW w:w="2260" w:type="dxa"/>
            <w:tcBorders>
              <w:top w:val="nil"/>
              <w:left w:val="nil"/>
              <w:bottom w:val="single" w:color="auto" w:sz="4" w:space="0"/>
              <w:right w:val="single" w:color="auto" w:sz="4" w:space="0"/>
            </w:tcBorders>
            <w:noWrap/>
            <w:vAlign w:val="center"/>
          </w:tcPr>
          <w:p w14:paraId="0669FFC5">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0CB9807A">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5356F55C">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第9层</w:t>
            </w:r>
          </w:p>
        </w:tc>
        <w:tc>
          <w:tcPr>
            <w:tcW w:w="2300" w:type="dxa"/>
            <w:tcBorders>
              <w:top w:val="nil"/>
              <w:left w:val="nil"/>
              <w:bottom w:val="single" w:color="auto" w:sz="4" w:space="0"/>
              <w:right w:val="single" w:color="auto" w:sz="4" w:space="0"/>
            </w:tcBorders>
            <w:noWrap/>
            <w:vAlign w:val="center"/>
          </w:tcPr>
          <w:p w14:paraId="7A9012DE">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4.00%</w:t>
            </w:r>
          </w:p>
        </w:tc>
        <w:tc>
          <w:tcPr>
            <w:tcW w:w="2260" w:type="dxa"/>
            <w:tcBorders>
              <w:top w:val="nil"/>
              <w:left w:val="nil"/>
              <w:bottom w:val="single" w:color="auto" w:sz="4" w:space="0"/>
              <w:right w:val="single" w:color="auto" w:sz="4" w:space="0"/>
            </w:tcBorders>
            <w:noWrap/>
            <w:vAlign w:val="center"/>
          </w:tcPr>
          <w:p w14:paraId="3699CA2B">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r w14:paraId="53D1734B">
        <w:tblPrEx>
          <w:tblCellMar>
            <w:top w:w="0" w:type="dxa"/>
            <w:left w:w="108" w:type="dxa"/>
            <w:bottom w:w="0" w:type="dxa"/>
            <w:right w:w="108" w:type="dxa"/>
          </w:tblCellMar>
        </w:tblPrEx>
        <w:trPr>
          <w:trHeight w:val="600" w:hRule="atLeast"/>
          <w:jc w:val="center"/>
        </w:trPr>
        <w:tc>
          <w:tcPr>
            <w:tcW w:w="1900" w:type="dxa"/>
            <w:tcBorders>
              <w:top w:val="nil"/>
              <w:left w:val="single" w:color="auto" w:sz="4" w:space="0"/>
              <w:bottom w:val="single" w:color="auto" w:sz="4" w:space="0"/>
              <w:right w:val="single" w:color="auto" w:sz="4" w:space="0"/>
            </w:tcBorders>
            <w:noWrap/>
            <w:vAlign w:val="center"/>
          </w:tcPr>
          <w:p w14:paraId="60DA8DC3">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第10层</w:t>
            </w:r>
          </w:p>
        </w:tc>
        <w:tc>
          <w:tcPr>
            <w:tcW w:w="2300" w:type="dxa"/>
            <w:tcBorders>
              <w:top w:val="nil"/>
              <w:left w:val="nil"/>
              <w:bottom w:val="single" w:color="auto" w:sz="4" w:space="0"/>
              <w:right w:val="single" w:color="auto" w:sz="4" w:space="0"/>
            </w:tcBorders>
            <w:noWrap/>
            <w:vAlign w:val="center"/>
          </w:tcPr>
          <w:p w14:paraId="7596A102">
            <w:pPr>
              <w:widowControl/>
              <w:jc w:val="center"/>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2.00%</w:t>
            </w:r>
          </w:p>
        </w:tc>
        <w:tc>
          <w:tcPr>
            <w:tcW w:w="2260" w:type="dxa"/>
            <w:tcBorders>
              <w:top w:val="nil"/>
              <w:left w:val="nil"/>
              <w:bottom w:val="single" w:color="auto" w:sz="4" w:space="0"/>
              <w:right w:val="single" w:color="auto" w:sz="4" w:space="0"/>
            </w:tcBorders>
            <w:noWrap/>
            <w:vAlign w:val="center"/>
          </w:tcPr>
          <w:p w14:paraId="538A905E">
            <w:pPr>
              <w:widowControl/>
              <w:jc w:val="left"/>
              <w:rPr>
                <w:rFonts w:ascii="宋体" w:hAnsi="宋体" w:eastAsia="宋体" w:cs="Times New Roman"/>
                <w:color w:val="000000"/>
                <w:kern w:val="0"/>
                <w:sz w:val="22"/>
                <w:szCs w:val="22"/>
              </w:rPr>
            </w:pPr>
            <w:r>
              <w:rPr>
                <w:rFonts w:hint="eastAsia" w:ascii="宋体" w:hAnsi="宋体" w:eastAsia="宋体" w:cs="Times New Roman"/>
                <w:color w:val="000000"/>
                <w:kern w:val="0"/>
                <w:sz w:val="22"/>
                <w:szCs w:val="22"/>
              </w:rPr>
              <w:t>　</w:t>
            </w:r>
          </w:p>
        </w:tc>
      </w:tr>
    </w:tbl>
    <w:p w14:paraId="135D38AC">
      <w:pPr>
        <w:keepNext w:val="0"/>
        <w:keepLines w:val="0"/>
        <w:pageBreakBefore w:val="0"/>
        <w:widowControl w:val="0"/>
        <w:kinsoku/>
        <w:wordWrap/>
        <w:overflowPunct/>
        <w:topLinePunct w:val="0"/>
        <w:autoSpaceDE/>
        <w:autoSpaceDN/>
        <w:bidi w:val="0"/>
        <w:adjustRightInd/>
        <w:snapToGrid/>
        <w:spacing w:line="20" w:lineRule="exact"/>
        <w:textAlignment w:val="auto"/>
      </w:pPr>
    </w:p>
    <w:p w14:paraId="41201852">
      <w:pPr>
        <w:spacing w:line="579" w:lineRule="exact"/>
        <w:ind w:left="4160" w:leftChars="1300" w:firstLine="2560" w:firstLineChars="800"/>
        <w:jc w:val="left"/>
        <w:rPr>
          <w:rFonts w:hint="eastAsia" w:ascii="仿宋_GB2312" w:hAnsi="仿宋" w:eastAsia="仿宋_GB2312" w:cs="Times New Roman"/>
          <w:sz w:val="32"/>
          <w:szCs w:val="20"/>
        </w:rPr>
      </w:pPr>
    </w:p>
    <w:p w14:paraId="5F398AD5"/>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2080F">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7A95E">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F7A95E">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771F7DBD">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6EB42"/>
    <w:multiLevelType w:val="singleLevel"/>
    <w:tmpl w:val="A236EB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A6B"/>
    <w:rsid w:val="00045BCC"/>
    <w:rsid w:val="00213CF6"/>
    <w:rsid w:val="00515306"/>
    <w:rsid w:val="0052619B"/>
    <w:rsid w:val="00920153"/>
    <w:rsid w:val="009A04F8"/>
    <w:rsid w:val="00C84A6B"/>
    <w:rsid w:val="071F6AB6"/>
    <w:rsid w:val="076444C8"/>
    <w:rsid w:val="0C4260F5"/>
    <w:rsid w:val="10A5002C"/>
    <w:rsid w:val="11B36778"/>
    <w:rsid w:val="123C49C0"/>
    <w:rsid w:val="13E946D3"/>
    <w:rsid w:val="147A5673"/>
    <w:rsid w:val="14A81E98"/>
    <w:rsid w:val="170A340B"/>
    <w:rsid w:val="18DC0363"/>
    <w:rsid w:val="190816B4"/>
    <w:rsid w:val="19375EE1"/>
    <w:rsid w:val="1AAE77E5"/>
    <w:rsid w:val="1B903686"/>
    <w:rsid w:val="1C183DA8"/>
    <w:rsid w:val="1F206C0B"/>
    <w:rsid w:val="20334D0F"/>
    <w:rsid w:val="20A7494D"/>
    <w:rsid w:val="217D5D6E"/>
    <w:rsid w:val="231D6147"/>
    <w:rsid w:val="23977CA8"/>
    <w:rsid w:val="2593624D"/>
    <w:rsid w:val="28277120"/>
    <w:rsid w:val="2BB96155"/>
    <w:rsid w:val="2DF169AB"/>
    <w:rsid w:val="313D23EF"/>
    <w:rsid w:val="334E0EFD"/>
    <w:rsid w:val="340C3D9A"/>
    <w:rsid w:val="344F41CC"/>
    <w:rsid w:val="35260E8C"/>
    <w:rsid w:val="388E577F"/>
    <w:rsid w:val="38B844F1"/>
    <w:rsid w:val="397861F9"/>
    <w:rsid w:val="39930ABA"/>
    <w:rsid w:val="3A0E4524"/>
    <w:rsid w:val="3B3078EC"/>
    <w:rsid w:val="3B6D7A0A"/>
    <w:rsid w:val="41BD7C40"/>
    <w:rsid w:val="42DB1FCE"/>
    <w:rsid w:val="441B5933"/>
    <w:rsid w:val="445D28B8"/>
    <w:rsid w:val="446217B4"/>
    <w:rsid w:val="497D2A6B"/>
    <w:rsid w:val="4B2B6DA4"/>
    <w:rsid w:val="4C11623D"/>
    <w:rsid w:val="4ED67BC1"/>
    <w:rsid w:val="551C775D"/>
    <w:rsid w:val="57624E6C"/>
    <w:rsid w:val="57A23F4A"/>
    <w:rsid w:val="582157B7"/>
    <w:rsid w:val="587D0513"/>
    <w:rsid w:val="5A8F0F7F"/>
    <w:rsid w:val="5AAD1584"/>
    <w:rsid w:val="5D1A1F34"/>
    <w:rsid w:val="5D2B6790"/>
    <w:rsid w:val="5DB61945"/>
    <w:rsid w:val="5EB6652D"/>
    <w:rsid w:val="5EBF1885"/>
    <w:rsid w:val="61DB6D9C"/>
    <w:rsid w:val="62B40FD5"/>
    <w:rsid w:val="647D1609"/>
    <w:rsid w:val="66B43C9A"/>
    <w:rsid w:val="682B3AE8"/>
    <w:rsid w:val="690600B1"/>
    <w:rsid w:val="6AD46A66"/>
    <w:rsid w:val="6B16798D"/>
    <w:rsid w:val="6C585C47"/>
    <w:rsid w:val="6DB602F7"/>
    <w:rsid w:val="6DC24EEE"/>
    <w:rsid w:val="70E61366"/>
    <w:rsid w:val="72E70F53"/>
    <w:rsid w:val="74911538"/>
    <w:rsid w:val="74B82BA7"/>
    <w:rsid w:val="750202C6"/>
    <w:rsid w:val="75293DFF"/>
    <w:rsid w:val="75B23A9A"/>
    <w:rsid w:val="761C53C9"/>
    <w:rsid w:val="794C7D62"/>
    <w:rsid w:val="7D3E36D0"/>
    <w:rsid w:val="7D761851"/>
    <w:rsid w:val="7F3379FA"/>
    <w:rsid w:val="7F6C2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默认段落字体1"/>
    <w:semiHidden/>
    <w:qFormat/>
    <w:uiPriority w:val="0"/>
  </w:style>
  <w:style w:type="table" w:customStyle="1" w:styleId="7">
    <w:name w:val="普通表格1"/>
    <w:semiHidden/>
    <w:qFormat/>
    <w:uiPriority w:val="0"/>
    <w:tblPr>
      <w:tblCellMar>
        <w:top w:w="0" w:type="dxa"/>
        <w:left w:w="0" w:type="dxa"/>
        <w:bottom w:w="0" w:type="dxa"/>
        <w:right w:w="0" w:type="dxa"/>
      </w:tblCellMar>
    </w:tblPr>
  </w:style>
  <w:style w:type="paragraph" w:customStyle="1" w:styleId="8">
    <w:name w:val="批注框文本1"/>
    <w:basedOn w:val="1"/>
    <w:semiHidden/>
    <w:qFormat/>
    <w:uiPriority w:val="0"/>
    <w:rPr>
      <w:sz w:val="18"/>
      <w:szCs w:val="18"/>
    </w:rPr>
  </w:style>
  <w:style w:type="paragraph" w:customStyle="1" w:styleId="9">
    <w:name w:val="页脚1"/>
    <w:basedOn w:val="1"/>
    <w:link w:val="10"/>
    <w:qFormat/>
    <w:uiPriority w:val="0"/>
    <w:pPr>
      <w:tabs>
        <w:tab w:val="center" w:pos="4153"/>
        <w:tab w:val="right" w:pos="8306"/>
      </w:tabs>
      <w:snapToGrid w:val="0"/>
      <w:jc w:val="left"/>
    </w:pPr>
    <w:rPr>
      <w:sz w:val="18"/>
      <w:szCs w:val="18"/>
    </w:rPr>
  </w:style>
  <w:style w:type="character" w:customStyle="1" w:styleId="10">
    <w:name w:val="页脚 Char"/>
    <w:basedOn w:val="6"/>
    <w:link w:val="9"/>
    <w:qFormat/>
    <w:uiPriority w:val="0"/>
    <w:rPr>
      <w:rFonts w:eastAsia="仿宋_GB2312"/>
      <w:kern w:val="2"/>
      <w:sz w:val="18"/>
      <w:szCs w:val="18"/>
    </w:rPr>
  </w:style>
  <w:style w:type="paragraph" w:customStyle="1" w:styleId="11">
    <w:name w:val="页眉1"/>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6"/>
    <w:link w:val="11"/>
    <w:qFormat/>
    <w:uiPriority w:val="0"/>
    <w:rPr>
      <w:rFonts w:eastAsia="仿宋_GB2312"/>
      <w:kern w:val="2"/>
      <w:sz w:val="18"/>
      <w:szCs w:val="18"/>
    </w:rPr>
  </w:style>
  <w:style w:type="table" w:customStyle="1" w:styleId="13">
    <w:name w:val="网格型1"/>
    <w:basedOn w:val="7"/>
    <w:qFormat/>
    <w:uiPriority w:val="0"/>
    <w:pPr>
      <w:widowControl w:val="0"/>
      <w:jc w:val="both"/>
    </w:pPr>
    <w:tblPr>
      <w:tblCellMar>
        <w:top w:w="0" w:type="dxa"/>
        <w:left w:w="0" w:type="dxa"/>
        <w:bottom w:w="0" w:type="dxa"/>
        <w:right w:w="0" w:type="dxa"/>
      </w:tblCellMar>
    </w:tblPr>
  </w:style>
  <w:style w:type="character" w:customStyle="1" w:styleId="14">
    <w:name w:val="font01"/>
    <w:basedOn w:val="6"/>
    <w:qFormat/>
    <w:uiPriority w:val="0"/>
    <w:rPr>
      <w:rFonts w:hint="eastAsia" w:ascii="宋体" w:hAnsi="宋体" w:eastAsia="宋体"/>
      <w:color w:val="000000"/>
      <w:sz w:val="24"/>
      <w:szCs w:val="24"/>
      <w:u w:val="none"/>
    </w:rPr>
  </w:style>
  <w:style w:type="character" w:customStyle="1" w:styleId="15">
    <w:name w:val="font11"/>
    <w:basedOn w:val="6"/>
    <w:qFormat/>
    <w:uiPriority w:val="0"/>
    <w:rPr>
      <w:rFonts w:hint="eastAsia" w:ascii="宋体" w:hAnsi="宋体" w:eastAsia="宋体"/>
      <w:color w:val="000000"/>
      <w:sz w:val="24"/>
      <w:szCs w:val="24"/>
      <w:u w:val="none"/>
      <w:vertAlign w:val="superscript"/>
    </w:rPr>
  </w:style>
  <w:style w:type="paragraph" w:customStyle="1" w:styleId="16">
    <w:name w:val="Char1 Char Char Char Char Char Char Char Char Char Char Char Char"/>
    <w:basedOn w:val="1"/>
    <w:qFormat/>
    <w:uiPriority w:val="0"/>
    <w:rPr>
      <w:rFonts w:eastAsia="宋体"/>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2635</Words>
  <Characters>2779</Characters>
  <Lines>21</Lines>
  <Paragraphs>5</Paragraphs>
  <TotalTime>1</TotalTime>
  <ScaleCrop>false</ScaleCrop>
  <LinksUpToDate>false</LinksUpToDate>
  <CharactersWithSpaces>2796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2025-02-21T01:52:00Z</dcterms:created>
  <dc:creator>WPS_1665664180</dc:creator>
  <cp:lastModifiedBy>明亮</cp:lastModifiedBy>
  <dcterms:modified xsi:type="dcterms:W3CDTF">2025-04-27T08:29:54Z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eyJoZGlkIjoiMzk2M2IwNjFhNTU3YmVlM2Y2NTAzMWVmZmU0ODYyNzAiLCJ1c2VySWQiOiIyNzg3NzA0MDUifQ==</vt:lpwstr>
  </property>
  <property fmtid="{D5CDD505-2E9C-101B-9397-08002B2CF9AE}" pid="3" name="KSOProductBuildVer">
    <vt:lpwstr>2052-12.1.0.20784</vt:lpwstr>
  </property>
  <property fmtid="{D5CDD505-2E9C-101B-9397-08002B2CF9AE}" pid="4" name="ICV">
    <vt:lpwstr>77B37B126CE14994BE0D7D58F9331F68_13</vt:lpwstr>
  </property>
</Properties>
</file>