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71A74" w14:textId="60AEAA21" w:rsidR="00A927B9" w:rsidRPr="00A927B9" w:rsidRDefault="00A927B9" w:rsidP="00A927B9">
      <w:pPr>
        <w:adjustRightInd w:val="0"/>
        <w:snapToGrid w:val="0"/>
        <w:spacing w:afterLines="100" w:after="312" w:line="620" w:lineRule="exact"/>
        <w:jc w:val="center"/>
        <w:rPr>
          <w:rFonts w:ascii="方正小标宋_GBK" w:eastAsia="方正小标宋_GBK" w:hAnsi="仿宋_GB2312" w:cs="Arial" w:hint="eastAsia"/>
          <w:kern w:val="0"/>
          <w:sz w:val="32"/>
          <w:szCs w:val="32"/>
        </w:rPr>
      </w:pPr>
      <w:r w:rsidRPr="00A927B9">
        <w:rPr>
          <w:rFonts w:ascii="方正小标宋_GBK" w:eastAsia="方正小标宋_GBK" w:hAnsi="Arial" w:cs="Arial" w:hint="eastAsia"/>
          <w:bCs/>
          <w:kern w:val="0"/>
          <w:sz w:val="44"/>
          <w:szCs w:val="20"/>
        </w:rPr>
        <w:t>吴江区养老机构标准化管理实施方案</w:t>
      </w:r>
    </w:p>
    <w:p w14:paraId="33214EEE" w14:textId="50214DE6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为深入贯彻落实国家、省、市关于养老服务高质量发展与安全生产工作部署，全面推进养老机构运营规范化、服务精细化、监管常态化，压紧压实机构主体责任，严守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安全发展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底线，健全长效管理机制，提升养老服务供给质量，切实保障入住老年人生命健康安全与合法权益，以标准化管理为抓手，持续擦亮吴江“吴优颐养”养老服务品牌，推动我区养老事业高水平高质量发展，结合本区实际，制定本方案。</w:t>
      </w:r>
    </w:p>
    <w:p w14:paraId="1FDDBE5B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一、总体要求</w:t>
      </w:r>
    </w:p>
    <w:p w14:paraId="18DC5DE3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以习近平新时代中国特色社会主义思想为指导，坚持以人民为中心的发展思想，严格落实“谁主管谁监管、管行业必须管安全、管业务必须管安全、管生产经营必须管安全”原则，聚焦养老机构运营管理关键问题，健全多方协同监管体系，以安全生产“六化”建设为抓手，全面推进养老机构全领域、全链条、全流程标准化管理，持续提升机构本质安全水平与养老服务保障能力，全力守护老年人生命财产安全与合法权益。</w:t>
      </w:r>
    </w:p>
    <w:p w14:paraId="590A831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到2026年底，实现全区养老机构“四个全面”工作目标：备案管理全面规范，备案合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规</w:t>
      </w:r>
      <w:proofErr w:type="gramEnd"/>
      <w:r>
        <w:rPr>
          <w:rFonts w:ascii="仿宋_GB2312" w:eastAsia="仿宋_GB2312" w:hAnsi="仿宋_GB2312" w:cs="Arial"/>
          <w:kern w:val="0"/>
          <w:sz w:val="32"/>
          <w:szCs w:val="32"/>
        </w:rPr>
        <w:t>性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、信息准确</w:t>
      </w:r>
      <w:r>
        <w:rPr>
          <w:rFonts w:ascii="仿宋_GB2312" w:eastAsia="仿宋_GB2312" w:hAnsi="仿宋_GB2312" w:cs="Arial"/>
          <w:kern w:val="0"/>
          <w:sz w:val="32"/>
          <w:szCs w:val="32"/>
        </w:rPr>
        <w:t>性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达到100%；标准体系全面</w:t>
      </w:r>
      <w:r>
        <w:rPr>
          <w:rFonts w:ascii="仿宋_GB2312" w:eastAsia="仿宋_GB2312" w:hAnsi="仿宋_GB2312" w:cs="Arial"/>
          <w:kern w:val="0"/>
          <w:sz w:val="32"/>
          <w:szCs w:val="32"/>
        </w:rPr>
        <w:t>推进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，</w:t>
      </w:r>
      <w:r>
        <w:rPr>
          <w:rFonts w:ascii="仿宋_GB2312" w:eastAsia="仿宋_GB2312" w:hAnsi="仿宋_GB2312" w:cs="Arial"/>
          <w:kern w:val="0"/>
          <w:sz w:val="32"/>
          <w:szCs w:val="32"/>
        </w:rPr>
        <w:t>推动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设施建设、运营管理、养老服务、安全生产各环节标准化</w:t>
      </w:r>
      <w:r>
        <w:rPr>
          <w:rFonts w:ascii="仿宋_GB2312" w:eastAsia="仿宋_GB2312" w:hAnsi="仿宋_GB2312" w:cs="Arial"/>
          <w:kern w:val="0"/>
          <w:sz w:val="32"/>
          <w:szCs w:val="32"/>
        </w:rPr>
        <w:t>提质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；安全防控全面强化，风险隐患实现动态排查、闭环整改，养老机构安全形势持续稳定；</w:t>
      </w:r>
      <w:r>
        <w:rPr>
          <w:rFonts w:ascii="仿宋_GB2312" w:eastAsia="仿宋_GB2312" w:hAnsi="仿宋_GB2312" w:cs="Arial"/>
          <w:kern w:val="0"/>
          <w:sz w:val="32"/>
          <w:szCs w:val="32"/>
        </w:rPr>
        <w:t>监管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机制全面健全，行业监管效能、机构服务质量、老年群众满意度稳步提升，推动全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lastRenderedPageBreak/>
        <w:t>区养老机构规范化、标准化、高质量发展迈上新台阶。</w:t>
      </w:r>
    </w:p>
    <w:p w14:paraId="0354CB7A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二、适用范围</w:t>
      </w:r>
    </w:p>
    <w:p w14:paraId="670EB5EC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全区依法登记、民政部门备案的养老机构（含公办、民办、公建民营）。</w:t>
      </w:r>
    </w:p>
    <w:p w14:paraId="3A661E3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三、重点工作任务</w:t>
      </w:r>
    </w:p>
    <w:p w14:paraId="7AA1072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（一）机构备案与退出管理标准化</w:t>
      </w:r>
    </w:p>
    <w:p w14:paraId="0E9C5CB4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1.规范备案与信息管理。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严格落实养老机构备案制度，规范备案要件与办理流程，实现应备尽备、及时备案、动态更新。机构名称、法定代表人、经营地址、床位数量、运营主体等关键信息变更，须及时办理变更备案，确保备案信息真实准确、全程可溯。</w:t>
      </w:r>
    </w:p>
    <w:p w14:paraId="1F9D30D9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2.严格准入与退出管控。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坚持准入监管与退出整治并重，对未备案、运营不规范、存在重大安全隐患的养老机构督促依法依规整改，整改不达标的依法处置，畅通退出渠道，实施全周期动态规范管理。</w:t>
      </w:r>
    </w:p>
    <w:p w14:paraId="6C67A4EF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（二）设施环境标准化</w:t>
      </w:r>
    </w:p>
    <w:p w14:paraId="5F2F5630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1.标识与无障碍管理。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机构安全警示、疏散导向、服务标识按国家规范统一设置，清晰规范、醒目适用；居室、卫生间、公共通行区域全面符合无障碍建设标准，地面防滑、转角软包，保障老年人通行安全便捷。</w:t>
      </w:r>
    </w:p>
    <w:p w14:paraId="360A68E6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2.公共环境管理。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公共活动区域通风照明良好、干净整洁、无异味；老年人生活与公共活动区域全面禁烟，功能分区清晰、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lastRenderedPageBreak/>
        <w:t>环境管理规范有序。</w:t>
      </w:r>
    </w:p>
    <w:p w14:paraId="486703E4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3.</w:t>
      </w:r>
      <w:proofErr w:type="gramStart"/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适老居住</w:t>
      </w:r>
      <w:proofErr w:type="gramEnd"/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配置。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居住空间符合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适老建设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要求，功能完善、安全稳固；床头、卫生间、洗浴区域紧急呼叫装置全覆盖、响应及时；室内布局合理、防护措施到位。</w:t>
      </w:r>
    </w:p>
    <w:p w14:paraId="330D0E7B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4.智能安防与卫生管理。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智能烟感、视频监控、一键报警等安防设备全覆盖、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常态化运维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，重点区域无死角；规范设置临时隔离区域，医疗废弃物、污染织物分类密闭、规范处置，严防交叉感染与环境风险。</w:t>
      </w:r>
    </w:p>
    <w:p w14:paraId="16F1578F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（三）运营服务与权益保障标准化</w:t>
      </w:r>
    </w:p>
    <w:p w14:paraId="43B8B861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1.人员岗位管理。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配齐配强管理、护理、医疗、安全、膳食、后勤等岗位人员，关键岗位依法持证上岗；落实24小时值班值守、日常巡查、交接班制度，规范内部运营秩序。护理员配比按照</w:t>
      </w:r>
      <w:r>
        <w:rPr>
          <w:rFonts w:ascii="仿宋_GB2312" w:eastAsia="仿宋_GB2312" w:hAnsi="仿宋_GB2312" w:cs="Arial"/>
          <w:kern w:val="0"/>
          <w:sz w:val="32"/>
          <w:szCs w:val="32"/>
        </w:rPr>
        <w:t>标准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执行。</w:t>
      </w:r>
    </w:p>
    <w:p w14:paraId="20863A41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2.教育培训管理。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建立入职培训、岗前培训、常态化轮训、年度考核制度，从业人员上岗、转岗必须开展安全教育；定期组织服务规范、安全技能、应急处置等培训，全面提升专业能力与安全素养。</w:t>
      </w:r>
    </w:p>
    <w:p w14:paraId="5875A15C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3.健康卫生管理。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全体职工按相关工种要求持有效健康证明上岗，每年开展健康检查；患有传染性疾病的，立即调离服务岗位，切实保障老年人健康安全。</w:t>
      </w:r>
    </w:p>
    <w:p w14:paraId="33BC26C8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4.服务运行管理。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全面推行规范化服务流程，严格执行入院评估、服务协议、生活照料、膳食保障、医疗护理、心理关怀、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lastRenderedPageBreak/>
        <w:t>档案管理等制度，实现服务有标准、过程有记录、质量可追溯。</w:t>
      </w:r>
    </w:p>
    <w:p w14:paraId="542890C2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5.合法权益保障。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健全投诉举报受理、处置、回访闭环机制，及时回应老年人合理诉求。严禁虚假宣传、违规收费、非法集资、漠视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与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虐待等行为，依法保障老年人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人身安全、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人格尊严、民族习俗、个人隐私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及其他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合法权益。</w:t>
      </w:r>
    </w:p>
    <w:p w14:paraId="334654F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（四）安全防控标准化</w:t>
      </w:r>
    </w:p>
    <w:p w14:paraId="2C36768D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1.消防安全管理。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全面压实消防安全主体责任，严格落实安全包保责任制，明确机构法定代表人或主要负责人为第一责任人；健全日巡查、月检查隐患排查整改闭环管理机制；严格用火用电用气安全管控，确保疏散通道和安全出口持续畅通；建强微型消防站或志愿消防队伍，定期开展消防疏散演练；推进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智慧消防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建设，实行“红黄蓝”安全风险动态评估，高风险机构纳入区级重点台账，实行“四定”闭环管理。</w:t>
      </w:r>
    </w:p>
    <w:p w14:paraId="406ECB80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2.建筑安全管理。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严格执行养老机构建筑安全、防火及无障碍建设标准，机构用房必须位于合法合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规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建筑内；定期开展建筑结构、围护墙体、屋面、防护栏杆、楼梯坡道、电气管线、燃气设施等安全排查与维护；规范内部装修改造行为，严禁擅自改变建筑结构、防火分区与消防设施布局。</w:t>
      </w:r>
    </w:p>
    <w:p w14:paraId="7581C3E4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3.食品安全管理。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严格落实食品安全主体责任，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规范食材采购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查验、加工制作、清洗消毒、食品留样等全流程管控；全面推行“明厨亮灶+互联网”监管模式，严格落实陪餐制度；强化从业人员健康管理与安全培训，切实保障老年人饮食安全。</w:t>
      </w:r>
    </w:p>
    <w:p w14:paraId="0E44EC3B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lastRenderedPageBreak/>
        <w:t>4.服务安全防控。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全面落实服务安全“九防”措施（防噎食、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防食品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药品误食、防压疮、防烫伤、防坠床、防跌倒、防他伤自伤、防走失、防文娱活动意外），聚焦失能、半失能、认知障碍老年人实施重点防护与动态监护。</w:t>
      </w:r>
    </w:p>
    <w:p w14:paraId="05274437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5.应急处置管理。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分类完善火灾、食品安全、突发疾病、意外伤害、极端天气、公共卫生等应急预案，明确处置流程、责任分工和转移安置措施；定期开展实战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化综合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应急演练，健全突发事件信息报送机制。</w:t>
      </w:r>
    </w:p>
    <w:p w14:paraId="4E70AEF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（五）</w:t>
      </w:r>
      <w:proofErr w:type="gramStart"/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医</w:t>
      </w:r>
      <w:proofErr w:type="gramEnd"/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养结合标准化</w:t>
      </w:r>
    </w:p>
    <w:p w14:paraId="53F55AC0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1.</w:t>
      </w:r>
      <w:proofErr w:type="gramStart"/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养协作机制。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鼓励养老机构与医疗机构深化合作，健全签约合作、绿色通道、急诊转诊、定期巡诊等服务机制，实现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医养服务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高效衔接。</w:t>
      </w:r>
    </w:p>
    <w:p w14:paraId="06A75EDB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2.医疗服务规范。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内设医疗机构依法备案、规范执业，常态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化开展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健康管理、慢病防控、用药指导、康复护理、中医药服务、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安宁疗护等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工作，提升健康保障能力。</w:t>
      </w:r>
    </w:p>
    <w:p w14:paraId="5DEEA8A3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（六）资金监管标准化</w:t>
      </w:r>
    </w:p>
    <w:p w14:paraId="27C84E15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1.预收费管理。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严格执行《江苏省养老机构预收费管理办法》《苏州市养老机构预收费资金管理规则》，签订机构、民政、银行三方存管监管协议，实行专户存储、专款专用、封闭运行，规范预收周期、押金管理，防范资金风险。</w:t>
      </w:r>
    </w:p>
    <w:p w14:paraId="4A683F70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2.补贴资金管理。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规范补贴申报、审核、拨付与使用管理，实行专账核算、专项使用，确保专款专用、公开透明，严禁虚报、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lastRenderedPageBreak/>
        <w:t>冒领、挤占、挪用财政补助资金。</w:t>
      </w:r>
    </w:p>
    <w:p w14:paraId="1C56944A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3.收费公示管理。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全面落实收费公示制度，在机构显著位置规范公示服务项目、收费标准、政策依据、监督电话等信息，保障老年人知情权、选择权与监督权。</w:t>
      </w:r>
    </w:p>
    <w:p w14:paraId="4083A43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四、实施步骤（2026年4月—12月）</w:t>
      </w:r>
    </w:p>
    <w:p w14:paraId="15408B55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1.动员部署、对标自查阶段（4月—5月）。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召开全区推进会议，开展政策标准解读与业务培训；各机构全面对标自查，建立问题、整改、责任、时限“四张清单”，实行台账化、动态化管理。</w:t>
      </w:r>
    </w:p>
    <w:p w14:paraId="682E072E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2.标准完善、整改提升阶段（6月—9月）。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指导机构制定内部标准化管理手册，组织全员培训与应急演练；聚焦薄弱环节逐项整改、销号管理，区级部门上门督导帮扶，确保整改落地见效。</w:t>
      </w:r>
    </w:p>
    <w:p w14:paraId="48D65E9B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3.复核验收、示范引领阶段（10月—11月）。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按照机构自评、区级复核流程，开展标准化建设与消防安全达标验收；选树区级示范机构，组织现场观摩、经验推广，以点带面提升整体水平。</w:t>
      </w:r>
    </w:p>
    <w:p w14:paraId="62F8338D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4.巩固深化、</w:t>
      </w:r>
      <w:proofErr w:type="gramStart"/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长效管</w:t>
      </w:r>
      <w:proofErr w:type="gramEnd"/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控阶段（12月起）。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全面总结工作成效，持续优化标准体系与管理流程。建立季度督查、半年评估、年度考核常态化工作机制，强化信息化监管支撑，形成规范有序、长效运行的治理模式。</w:t>
      </w:r>
    </w:p>
    <w:p w14:paraId="66DEA0DB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五、保障措施</w:t>
      </w:r>
    </w:p>
    <w:p w14:paraId="05CDDC56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lastRenderedPageBreak/>
        <w:t>1.强化组织统筹。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建立区级统筹、民政牵头、部门联动、属地监管、机构主责的工作体系，民政、财政、住建、卫健、市场监管、消防救援、金融监管等部门各司其职、协同监管；各养老机构严格落实主体责任，定期会商、闭环推进。</w:t>
      </w:r>
    </w:p>
    <w:p w14:paraId="458A7C80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2.压实监管责任。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层层压实部门监管、属地管理、机构主体责任，健全联合执法机制，对违法违规、隐患突出、整改不力的机构依法处置，涉嫌犯罪的移送司法机关。</w:t>
      </w:r>
      <w:bookmarkStart w:id="0" w:name="OLE_LINK8"/>
      <w:bookmarkStart w:id="1" w:name="OLE_LINK9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将标准化落实情况与机构等级评定、补贴发放、评优评先刚性挂钩，强化结果运用、奖优罚劣。</w:t>
      </w:r>
      <w:bookmarkEnd w:id="0"/>
      <w:bookmarkEnd w:id="1"/>
    </w:p>
    <w:p w14:paraId="6CD7093F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3.加强宣传引导。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多渠道宣传养老服务政策法规、行业标准及安全知识，提升机构从业人员守法经营、规范服务意识；面向老年人及家属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或其他监护人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做好政策解读与风险提示，</w:t>
      </w:r>
      <w:r>
        <w:rPr>
          <w:rFonts w:ascii="仿宋_GB2312" w:eastAsia="仿宋_GB2312" w:hAnsi="仿宋_GB2312" w:cs="Arial"/>
          <w:kern w:val="0"/>
          <w:sz w:val="32"/>
          <w:szCs w:val="32"/>
        </w:rPr>
        <w:t>增强其防范与维权能力；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宣传工作成效与先进典型，营造全社会关心支持养老服务高质量发展的良好氛围。</w:t>
      </w:r>
    </w:p>
    <w:p w14:paraId="108AB26C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33EB8884" w14:textId="77777777" w:rsidR="00FA69F3" w:rsidRDefault="00000000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附件：</w:t>
      </w:r>
    </w:p>
    <w:p w14:paraId="6DE0FB07" w14:textId="77777777" w:rsidR="00FA69F3" w:rsidRDefault="00000000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/>
          <w:kern w:val="0"/>
          <w:sz w:val="32"/>
          <w:szCs w:val="32"/>
        </w:rPr>
        <w:t>1.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吴江区养老机构备案与退出管理标准化操作指引</w:t>
      </w:r>
    </w:p>
    <w:p w14:paraId="6B0B3BE5" w14:textId="77777777" w:rsidR="00FA69F3" w:rsidRDefault="00000000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/>
          <w:kern w:val="0"/>
          <w:sz w:val="32"/>
          <w:szCs w:val="32"/>
        </w:rPr>
        <w:t>2.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吴江区养老机构设施环境标准化操作指引</w:t>
      </w:r>
    </w:p>
    <w:p w14:paraId="29059FE0" w14:textId="77777777" w:rsidR="00FA69F3" w:rsidRDefault="00000000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/>
          <w:kern w:val="0"/>
          <w:sz w:val="32"/>
          <w:szCs w:val="32"/>
        </w:rPr>
        <w:t>3.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吴江区养老机构运营服务与权益保障标准化操作指引</w:t>
      </w:r>
    </w:p>
    <w:p w14:paraId="57D32C91" w14:textId="77777777" w:rsidR="00FA69F3" w:rsidRDefault="00000000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/>
          <w:kern w:val="0"/>
          <w:sz w:val="32"/>
          <w:szCs w:val="32"/>
        </w:rPr>
        <w:t>4.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吴江区养老机构安全管理标准化操作指引</w:t>
      </w:r>
    </w:p>
    <w:p w14:paraId="5B61887F" w14:textId="77777777" w:rsidR="00FA69F3" w:rsidRDefault="00000000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/>
          <w:kern w:val="0"/>
          <w:sz w:val="32"/>
          <w:szCs w:val="32"/>
        </w:rPr>
        <w:t>5.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吴江区养老机构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养结合标准化操作指引</w:t>
      </w:r>
    </w:p>
    <w:p w14:paraId="47BE5776" w14:textId="77777777" w:rsidR="00FA69F3" w:rsidRDefault="00000000">
      <w:pPr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/>
          <w:kern w:val="0"/>
          <w:sz w:val="32"/>
          <w:szCs w:val="32"/>
        </w:rPr>
        <w:t>6.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吴江区养老机构资金监管标准化操作指引</w:t>
      </w:r>
    </w:p>
    <w:p w14:paraId="6C2E3636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/>
          <w:kern w:val="0"/>
          <w:sz w:val="32"/>
          <w:szCs w:val="32"/>
        </w:rPr>
        <w:lastRenderedPageBreak/>
        <w:t>7.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政策参考依据</w:t>
      </w:r>
    </w:p>
    <w:p w14:paraId="43E2A87B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6966620E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17CC9818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1EF37E81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7E48CDA9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4A06D271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02C4113F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36D64959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55C89C4C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0C20EC99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66216D04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2B601E94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2181CB5D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0B638016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0335828B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36DDCAF7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75C02F9C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68EF6842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437F9E18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502A463B" w14:textId="77777777" w:rsidR="00A927B9" w:rsidRDefault="00A927B9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11E0CAB3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77CCEF8B" w14:textId="77777777" w:rsidR="00FA69F3" w:rsidRDefault="00000000">
      <w:pPr>
        <w:rPr>
          <w:rFonts w:ascii="黑体" w:eastAsia="黑体" w:hAnsi="黑体" w:cs="Arial" w:hint="eastAsia"/>
          <w:kern w:val="0"/>
          <w:sz w:val="32"/>
          <w:szCs w:val="32"/>
        </w:rPr>
      </w:pPr>
      <w:r>
        <w:rPr>
          <w:rFonts w:ascii="黑体" w:eastAsia="黑体" w:hAnsi="黑体" w:cs="Arial" w:hint="eastAsia"/>
          <w:kern w:val="0"/>
          <w:sz w:val="32"/>
          <w:szCs w:val="32"/>
        </w:rPr>
        <w:lastRenderedPageBreak/>
        <w:t>附件1</w:t>
      </w:r>
    </w:p>
    <w:p w14:paraId="0C0EA262" w14:textId="77777777" w:rsidR="00FA69F3" w:rsidRDefault="00000000">
      <w:pPr>
        <w:adjustRightInd w:val="0"/>
        <w:snapToGrid w:val="0"/>
        <w:spacing w:afterLines="100" w:after="312" w:line="620" w:lineRule="exact"/>
        <w:jc w:val="center"/>
        <w:rPr>
          <w:rFonts w:ascii="方正小标宋_GBK" w:eastAsia="方正小标宋_GBK" w:hAnsi="Arial" w:cs="Arial"/>
          <w:bCs/>
          <w:w w:val="90"/>
          <w:kern w:val="0"/>
          <w:sz w:val="44"/>
          <w:szCs w:val="20"/>
        </w:rPr>
      </w:pPr>
      <w:r>
        <w:rPr>
          <w:rFonts w:ascii="方正小标宋_GBK" w:eastAsia="方正小标宋_GBK" w:hAnsi="Arial" w:cs="Arial" w:hint="eastAsia"/>
          <w:bCs/>
          <w:w w:val="90"/>
          <w:kern w:val="0"/>
          <w:sz w:val="44"/>
          <w:szCs w:val="20"/>
        </w:rPr>
        <w:t>吴江区养老机构备案与退出管理标准化操作指引</w:t>
      </w:r>
    </w:p>
    <w:p w14:paraId="287838E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为深入贯彻国家、省、市关于养老服务高质量发展决策部署，全面规范养老机构备案、信息变更与退出管理，健全机构全生命周期监管机制，保障入住老年人合法权益与生命财产安全，</w:t>
      </w:r>
      <w:r>
        <w:rPr>
          <w:rFonts w:ascii="仿宋_GB2312" w:eastAsia="仿宋_GB2312" w:hAnsi="仿宋_GB2312" w:cs="Arial"/>
          <w:kern w:val="0"/>
          <w:sz w:val="32"/>
          <w:szCs w:val="32"/>
        </w:rPr>
        <w:t>依据相关法律法规及标准规范，结合吴江区实际，制定本操作指引。</w:t>
      </w:r>
    </w:p>
    <w:p w14:paraId="272B012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/>
          <w:bCs/>
          <w:kern w:val="0"/>
          <w:sz w:val="32"/>
          <w:szCs w:val="32"/>
        </w:rPr>
        <w:t>一、备案管理规范</w:t>
      </w:r>
    </w:p>
    <w:p w14:paraId="37D91BB3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/>
          <w:bCs/>
          <w:kern w:val="0"/>
          <w:sz w:val="32"/>
          <w:szCs w:val="32"/>
        </w:rPr>
        <w:t>1.及时备案要求</w:t>
      </w:r>
    </w:p>
    <w:p w14:paraId="1F0881A3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/>
          <w:kern w:val="0"/>
          <w:sz w:val="32"/>
          <w:szCs w:val="32"/>
        </w:rPr>
        <w:t>养老机构应当在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收住老年人</w:t>
      </w:r>
      <w:r>
        <w:rPr>
          <w:rFonts w:ascii="仿宋_GB2312" w:eastAsia="仿宋_GB2312" w:hAnsi="仿宋_GB2312" w:cs="Arial"/>
          <w:kern w:val="0"/>
          <w:sz w:val="32"/>
          <w:szCs w:val="32"/>
        </w:rPr>
        <w:t>后10个工作日内，向所在地民政部门履行备案手续，做到应备尽备、信息真实、及时准确。</w:t>
      </w:r>
    </w:p>
    <w:p w14:paraId="24621B5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/>
          <w:bCs/>
          <w:kern w:val="0"/>
          <w:sz w:val="32"/>
          <w:szCs w:val="32"/>
        </w:rPr>
        <w:t>2.备案材料规范</w:t>
      </w:r>
    </w:p>
    <w:p w14:paraId="62C08DC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/>
          <w:kern w:val="0"/>
          <w:sz w:val="32"/>
          <w:szCs w:val="32"/>
        </w:rPr>
        <w:t>机构申请备案时，需按规定提交备案申请书、备案承诺书、服务场所产权证明或租赁合同、消防合格或备案凭证等相关材料；内设餐饮服务、医疗机构的，同步提供相应许可或备案文件。</w:t>
      </w:r>
    </w:p>
    <w:p w14:paraId="100B368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/>
          <w:bCs/>
          <w:kern w:val="0"/>
          <w:sz w:val="32"/>
          <w:szCs w:val="32"/>
        </w:rPr>
        <w:t>3.审查核查规范</w:t>
      </w:r>
    </w:p>
    <w:p w14:paraId="1938885B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/>
          <w:kern w:val="0"/>
          <w:sz w:val="32"/>
          <w:szCs w:val="32"/>
        </w:rPr>
        <w:t>民政部门依法对备案材料进行书面审查，并开展现场核查，核实备案信息与运营条件。对材料齐全、符合要求的，予以备案并出具备案回执；材料不齐全的，一次性告知需补正的全部内容。</w:t>
      </w:r>
    </w:p>
    <w:p w14:paraId="28D3C953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4.变更备案要求</w:t>
      </w:r>
    </w:p>
    <w:p w14:paraId="5FDF4CD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养老机构名称、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服务场所、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法定代表人、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业务（经营）范围、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床位数量、运营主体等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法定登记事项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发生变动的，应当在</w:t>
      </w:r>
      <w:r>
        <w:rPr>
          <w:rFonts w:ascii="仿宋_GB2312" w:eastAsia="仿宋_GB2312" w:hAnsi="仿宋_GB2312" w:cs="Arial"/>
          <w:kern w:val="0"/>
          <w:sz w:val="32"/>
          <w:szCs w:val="32"/>
        </w:rPr>
        <w:t>变更后</w:t>
      </w:r>
      <w:r>
        <w:rPr>
          <w:rFonts w:ascii="仿宋_GB2312" w:eastAsia="仿宋_GB2312" w:hAnsi="仿宋_GB2312" w:cs="Arial"/>
          <w:kern w:val="0"/>
          <w:sz w:val="32"/>
          <w:szCs w:val="32"/>
        </w:rPr>
        <w:lastRenderedPageBreak/>
        <w:t>10个工作日内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向原备案民政部门申请办理变更备案，确保监管信息动态更新。</w:t>
      </w:r>
    </w:p>
    <w:p w14:paraId="1492DBB3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/>
          <w:bCs/>
          <w:kern w:val="0"/>
          <w:sz w:val="32"/>
          <w:szCs w:val="32"/>
        </w:rPr>
        <w:t>二、退出管理规范</w:t>
      </w:r>
    </w:p>
    <w:p w14:paraId="6103197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/>
          <w:bCs/>
          <w:kern w:val="0"/>
          <w:sz w:val="32"/>
          <w:szCs w:val="32"/>
        </w:rPr>
        <w:t>1.主动退出管理</w:t>
      </w:r>
    </w:p>
    <w:p w14:paraId="4EF520A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/>
          <w:kern w:val="0"/>
          <w:sz w:val="32"/>
          <w:szCs w:val="32"/>
        </w:rPr>
        <w:t>养老机构暂停、终止养老服务的，除不可抗力或者其他突发情况外，应当提前60日书面通知入住老年人或者其代理人，并书面告知民政部门，妥善做好老年人安置工作，按程序申请撤销备案。</w:t>
      </w:r>
    </w:p>
    <w:p w14:paraId="2CF3985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/>
          <w:bCs/>
          <w:kern w:val="0"/>
          <w:sz w:val="32"/>
          <w:szCs w:val="32"/>
        </w:rPr>
        <w:t>2.督促整改与责令退出</w:t>
      </w:r>
    </w:p>
    <w:p w14:paraId="182909D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对未依规备案、日常运营管理不规范、服务设施不符合国家及行业标准、存在安全隐患的养老机构，由民政部门督促限期整改。存在以下情形，依法依规责令退出：房屋建筑、消防安全、食品医疗、特种设备等领域重大安全隐患且无法整改到位；严重侵害老年人合法权益，拒不整改或整改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复核仍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不达标；列入养老服务市场失信联合惩戒名单等情形</w:t>
      </w:r>
      <w:r>
        <w:rPr>
          <w:rFonts w:ascii="仿宋_GB2312" w:eastAsia="仿宋_GB2312" w:hAnsi="仿宋_GB2312" w:cs="Arial"/>
          <w:kern w:val="0"/>
          <w:sz w:val="32"/>
          <w:szCs w:val="32"/>
        </w:rPr>
        <w:t>。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责令退出后，需妥善做好老年人安置工作，严格依照流程规范完成后续处置工作。</w:t>
      </w:r>
    </w:p>
    <w:p w14:paraId="796C5A9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/>
          <w:bCs/>
          <w:kern w:val="0"/>
          <w:sz w:val="32"/>
          <w:szCs w:val="32"/>
        </w:rPr>
        <w:t>3.撤销备案管理</w:t>
      </w:r>
    </w:p>
    <w:p w14:paraId="4CDB737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/>
          <w:kern w:val="0"/>
          <w:sz w:val="32"/>
          <w:szCs w:val="32"/>
        </w:rPr>
        <w:t>养老机构被注销登记、吊销营业执照、责令关闭或依法撤销的，民政部门按规定及时办理撤销备案手续，实施动态闭环管理。</w:t>
      </w:r>
    </w:p>
    <w:p w14:paraId="19E9BA1B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/>
          <w:bCs/>
          <w:kern w:val="0"/>
          <w:sz w:val="32"/>
          <w:szCs w:val="32"/>
        </w:rPr>
        <w:t>三、监督管理与社会监督</w:t>
      </w:r>
    </w:p>
    <w:p w14:paraId="36956CC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/>
          <w:kern w:val="0"/>
          <w:sz w:val="32"/>
          <w:szCs w:val="32"/>
        </w:rPr>
        <w:t>民政部门依法履行行业监管职责，强化信息公示、联合检查与隐患整改闭环管理。对未备案、违规运营机构依法处置并公示</w:t>
      </w:r>
      <w:r>
        <w:rPr>
          <w:rFonts w:ascii="仿宋_GB2312" w:eastAsia="仿宋_GB2312" w:hAnsi="仿宋_GB2312" w:cs="Arial"/>
          <w:kern w:val="0"/>
          <w:sz w:val="32"/>
          <w:szCs w:val="32"/>
        </w:rPr>
        <w:lastRenderedPageBreak/>
        <w:t>信息，主动接受社会公众监督，维护养老机构运营秩序。</w:t>
      </w:r>
    </w:p>
    <w:p w14:paraId="1D7B1FBB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本方案未尽事宜，遵照国家、省、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市最新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养老服务相关法律法规及标准规范执行。</w:t>
      </w:r>
    </w:p>
    <w:p w14:paraId="177D1211" w14:textId="77777777" w:rsidR="00FA69F3" w:rsidRDefault="00FA69F3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宋体" w:hint="eastAsia"/>
          <w:b/>
          <w:bCs/>
          <w:kern w:val="0"/>
          <w:sz w:val="32"/>
          <w:szCs w:val="32"/>
        </w:rPr>
      </w:pPr>
    </w:p>
    <w:p w14:paraId="342AD471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宋体" w:hint="eastAsia"/>
          <w:b/>
          <w:bCs/>
          <w:kern w:val="0"/>
          <w:sz w:val="32"/>
          <w:szCs w:val="32"/>
        </w:rPr>
        <w:t>附：主要依据规范与文件</w:t>
      </w:r>
    </w:p>
    <w:p w14:paraId="6A24CAB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1.《中华人民共和国老年人权益保障法》</w:t>
      </w:r>
    </w:p>
    <w:p w14:paraId="2081BC4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2.《养老机构管理办法》（民政部令第66号）</w:t>
      </w:r>
    </w:p>
    <w:p w14:paraId="2C1FC110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3.《江苏省养老服务条例》</w:t>
      </w:r>
    </w:p>
    <w:p w14:paraId="593E462C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4.《关于进一步规范养老机构备案管理的通知》（苏民养老〔2025〕21号）</w:t>
      </w:r>
    </w:p>
    <w:p w14:paraId="4516EB23" w14:textId="77777777" w:rsidR="00FA69F3" w:rsidRDefault="00FA69F3">
      <w:pPr>
        <w:adjustRightInd w:val="0"/>
        <w:snapToGrid w:val="0"/>
        <w:spacing w:line="560" w:lineRule="exact"/>
        <w:ind w:firstLineChars="200" w:firstLine="480"/>
        <w:rPr>
          <w:rFonts w:ascii="仿宋_GB2312" w:eastAsia="仿宋_GB2312" w:hAnsi="仿宋_GB2312" w:cs="Arial" w:hint="eastAsia"/>
          <w:kern w:val="0"/>
          <w:sz w:val="24"/>
        </w:rPr>
      </w:pPr>
    </w:p>
    <w:p w14:paraId="1B477FCC" w14:textId="77777777" w:rsidR="00FA69F3" w:rsidRDefault="00FA69F3">
      <w:pPr>
        <w:adjustRightInd w:val="0"/>
        <w:snapToGrid w:val="0"/>
        <w:spacing w:line="560" w:lineRule="exact"/>
        <w:ind w:firstLineChars="200" w:firstLine="480"/>
        <w:rPr>
          <w:rFonts w:ascii="仿宋_GB2312" w:eastAsia="仿宋_GB2312" w:hAnsi="仿宋_GB2312" w:cs="Arial" w:hint="eastAsia"/>
          <w:kern w:val="0"/>
          <w:sz w:val="24"/>
        </w:rPr>
      </w:pPr>
    </w:p>
    <w:p w14:paraId="20FE8609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5F68C156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50CDF7AD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08A39639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06C6AB2E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0EA1A61B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6A6E1B98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1D25827E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430BE14F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39CF5CC1" w14:textId="77777777" w:rsidR="00FA69F3" w:rsidRDefault="00000000">
      <w:pPr>
        <w:rPr>
          <w:rFonts w:ascii="黑体" w:eastAsia="黑体" w:hAnsi="黑体" w:cs="Arial" w:hint="eastAsia"/>
          <w:kern w:val="0"/>
          <w:sz w:val="32"/>
          <w:szCs w:val="32"/>
        </w:rPr>
      </w:pPr>
      <w:r>
        <w:rPr>
          <w:rFonts w:ascii="黑体" w:eastAsia="黑体" w:hAnsi="黑体" w:cs="Arial" w:hint="eastAsia"/>
          <w:kern w:val="0"/>
          <w:sz w:val="32"/>
          <w:szCs w:val="32"/>
        </w:rPr>
        <w:lastRenderedPageBreak/>
        <w:t>附件2</w:t>
      </w:r>
    </w:p>
    <w:p w14:paraId="632635C6" w14:textId="77777777" w:rsidR="00FA69F3" w:rsidRDefault="00000000">
      <w:pPr>
        <w:adjustRightInd w:val="0"/>
        <w:snapToGrid w:val="0"/>
        <w:spacing w:afterLines="100" w:after="312" w:line="620" w:lineRule="exact"/>
        <w:jc w:val="center"/>
        <w:rPr>
          <w:rFonts w:ascii="方正小标宋_GBK" w:eastAsia="方正小标宋_GBK" w:hAnsi="Arial" w:cs="Arial"/>
          <w:bCs/>
          <w:kern w:val="0"/>
          <w:sz w:val="44"/>
          <w:szCs w:val="20"/>
        </w:rPr>
      </w:pPr>
      <w:r>
        <w:rPr>
          <w:rFonts w:ascii="方正小标宋_GBK" w:eastAsia="方正小标宋_GBK" w:hAnsi="Arial" w:cs="Arial" w:hint="eastAsia"/>
          <w:bCs/>
          <w:kern w:val="0"/>
          <w:sz w:val="44"/>
          <w:szCs w:val="20"/>
        </w:rPr>
        <w:t>吴江区养老机构设施环境标准化操作指引</w:t>
      </w:r>
    </w:p>
    <w:p w14:paraId="4BE9C8B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为深入贯彻国家、省、市关于养老服务高质量发展决策部署，全面规范养老机构设施配置、环境管理、无障碍建设与安全防护，提升设施环境标准化、适老化水平，保障老年人生活安全与便捷舒适，依据相关法律法规及标准规范，结合吴江区实际，制定本操作指引。</w:t>
      </w:r>
    </w:p>
    <w:p w14:paraId="62C601E0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一、标识与无障碍管理规范</w:t>
      </w:r>
    </w:p>
    <w:p w14:paraId="6142CFB5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1.标识设置要求</w:t>
      </w:r>
    </w:p>
    <w:p w14:paraId="5B272AB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机构内安全警示标识、消防疏散导向标识、服务功能标识、无障碍提示标识，严格按照国家规范统一设计、统一布设，做到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材质安全、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字体清晰、色彩醒目、大小适宜、牢固适用，无破损、无褪色、无遮挡，便于老年人识别。</w:t>
      </w:r>
    </w:p>
    <w:p w14:paraId="089EB82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2.无障碍设施要求</w:t>
      </w:r>
    </w:p>
    <w:p w14:paraId="4C0A70F3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老年人居室、卫生间、公共走廊、楼梯、出入口等通行及活动区域，全面符合国家无障碍建设标准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，包括但不限于：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公共通道净宽≥1.2米，通行门扇开启净宽≥0.8米；无不合理门槛、台阶及障碍物；地面采用防滑、平整材质，无积水、无松动、无凸起；室内外尖锐部位采取防撞软包处理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等等，以充分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保障老年人通行安全、便捷。</w:t>
      </w:r>
    </w:p>
    <w:p w14:paraId="479C0580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二、公共环境管理规范</w:t>
      </w:r>
    </w:p>
    <w:p w14:paraId="478BD69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lastRenderedPageBreak/>
        <w:t>1.公共区域管控要求</w:t>
      </w:r>
    </w:p>
    <w:p w14:paraId="5AB35510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公共活动区域、接待区域、走廊等公共空间，做到通风顺畅、照明充足、干净整洁、无异味、无杂物堆放。每日通风≥2次，每次≥30分钟；公共区域照明完好、光线适度，满足行走与活动需求；每日全面清洁消杀≥1次，高频接触部位定期消毒，环境整洁有序。</w:t>
      </w:r>
    </w:p>
    <w:p w14:paraId="2CD31F3B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2.禁烟与分区管理要求</w:t>
      </w:r>
    </w:p>
    <w:p w14:paraId="3A61DACC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老年人生活居室、公共活动区域、康复区域、食堂等室内区域全面禁烟，规范设置禁烟标识；机构合理划分功能区域，分区清晰、标识明确、物品摆放规范，无乱堆乱放、无占用消防通道、无功能混用现象。</w:t>
      </w:r>
    </w:p>
    <w:p w14:paraId="57139F1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三、</w:t>
      </w:r>
      <w:proofErr w:type="gramStart"/>
      <w:r>
        <w:rPr>
          <w:rFonts w:ascii="黑体" w:eastAsia="黑体" w:hAnsi="黑体" w:cs="Arial" w:hint="eastAsia"/>
          <w:bCs/>
          <w:kern w:val="0"/>
          <w:sz w:val="32"/>
          <w:szCs w:val="32"/>
        </w:rPr>
        <w:t>适老居住</w:t>
      </w:r>
      <w:proofErr w:type="gramEnd"/>
      <w:r>
        <w:rPr>
          <w:rFonts w:ascii="黑体" w:eastAsia="黑体" w:hAnsi="黑体" w:cs="Arial" w:hint="eastAsia"/>
          <w:bCs/>
          <w:kern w:val="0"/>
          <w:sz w:val="32"/>
          <w:szCs w:val="32"/>
        </w:rPr>
        <w:t>配置管理规范</w:t>
      </w:r>
    </w:p>
    <w:p w14:paraId="26CA6303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1.居住空间建设要求</w:t>
      </w:r>
    </w:p>
    <w:p w14:paraId="3D452C0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老年人居室布局合理、采光通风良好，设施安全稳固、无安全隐患；居室无尖锐构造、无裸露线路，家具摆放规范，床位间距合理、通行通道净宽≥1.2米，满足生活起居与照护操作空间要求。</w:t>
      </w:r>
    </w:p>
    <w:p w14:paraId="21B6DC6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严格执行国家建设标准：单人间居室使用面积≥10㎡，双人间≥16㎡，每床平均使用面积≥6㎡。居室不得设置在地下室、半地下室。</w:t>
      </w:r>
    </w:p>
    <w:p w14:paraId="7F31A59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2.安全防护与呼叫要求</w:t>
      </w:r>
    </w:p>
    <w:p w14:paraId="2EAB8E9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老年人床头、卫生间、洗浴等关键位置，紧急呼叫装置100%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lastRenderedPageBreak/>
        <w:t>全覆盖，呼叫响应及时、保持24小时畅通；门窗、阳台防护栏杆高度≥1.1米，栏杆竖向净距≤0.11米，牢固可靠、无攀爬隐患，有效防范坠落、磕碰风险。</w:t>
      </w:r>
    </w:p>
    <w:p w14:paraId="0689275F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四、智能安防与卫生管理规范</w:t>
      </w:r>
    </w:p>
    <w:p w14:paraId="56B8210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1.智能安防运行要求</w:t>
      </w:r>
    </w:p>
    <w:p w14:paraId="70D9031B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机构内烟感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报警器、视频监控、一键报警、应急呼叫等安防设备，实现公共区域、重点部位全覆盖、无死角；建立日常巡查与维保机制，设备完好率100%，监控存储满足管理与追溯要求，故障及时维修更换。</w:t>
      </w:r>
    </w:p>
    <w:p w14:paraId="505907A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2.卫生防疫与处置要求</w:t>
      </w:r>
    </w:p>
    <w:p w14:paraId="0287CB1F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按规范落实日常清洁、消毒、通风，重点区域按要求增加消杀频次；生活垃圾、医疗废弃物、污染织物分类收集、密闭转运、规范处置，做到分类处置率100%，无积存、无异味、无病媒生物滋生，严防交叉感染。</w:t>
      </w:r>
    </w:p>
    <w:p w14:paraId="2E8806E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五、监督管理与社会监督</w:t>
      </w:r>
    </w:p>
    <w:p w14:paraId="337CBC6F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民政部门依法履行行业监管职责，强化信息公示、联合检查与隐患整改闭环管理。对设施环境不达标、管理不到位的养老机构依法督促整改，主动接受社会公众监督，持续提升机构设施环境规范化水平。</w:t>
      </w:r>
    </w:p>
    <w:p w14:paraId="5355BEDF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本方案未尽事宜，遵照国家、省、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市最新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养老服务相关法律法规及标准规范执行。</w:t>
      </w:r>
    </w:p>
    <w:p w14:paraId="1B8854F8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58306D68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宋体" w:hint="eastAsia"/>
          <w:b/>
          <w:bCs/>
          <w:kern w:val="0"/>
          <w:sz w:val="32"/>
          <w:szCs w:val="32"/>
        </w:rPr>
        <w:lastRenderedPageBreak/>
        <w:t>附：主要依据规范与文件</w:t>
      </w:r>
    </w:p>
    <w:p w14:paraId="54E21B4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1.《中华人民共和国老年人权益保障法》</w:t>
      </w:r>
    </w:p>
    <w:p w14:paraId="013D4D3C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2.《养老机构管理办法》（民政部令第66号）</w:t>
      </w:r>
    </w:p>
    <w:p w14:paraId="27C8B37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3.《养老机构服务安全基本规范》（GB 38600-2019）</w:t>
      </w:r>
    </w:p>
    <w:p w14:paraId="599AA13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4.《无障碍设计规范》（GB 50763-2012）</w:t>
      </w:r>
    </w:p>
    <w:p w14:paraId="1C26D7E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5.《安全色和安全标志》（GB 2894-2025）</w:t>
      </w:r>
    </w:p>
    <w:p w14:paraId="19350405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6.《老年人照料设施建筑设计标准》（JGJ 450-2018）</w:t>
      </w:r>
    </w:p>
    <w:p w14:paraId="21E8048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7.《江苏省养老服务条例》</w:t>
      </w:r>
    </w:p>
    <w:p w14:paraId="5D02077B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8.《江苏省养老机构等级划分与评定评分细则（第三版）》（苏民养老〔2024〕31号）</w:t>
      </w:r>
    </w:p>
    <w:p w14:paraId="31E5D71F" w14:textId="77777777" w:rsidR="00FA69F3" w:rsidRDefault="00FA69F3">
      <w:pPr>
        <w:adjustRightInd w:val="0"/>
        <w:snapToGrid w:val="0"/>
        <w:spacing w:line="560" w:lineRule="exact"/>
        <w:ind w:firstLineChars="200" w:firstLine="482"/>
        <w:rPr>
          <w:rFonts w:ascii="仿宋_GB2312" w:eastAsia="仿宋_GB2312" w:hAnsi="仿宋_GB2312" w:cs="Arial" w:hint="eastAsia"/>
          <w:b/>
          <w:bCs/>
          <w:kern w:val="0"/>
          <w:sz w:val="24"/>
        </w:rPr>
      </w:pPr>
    </w:p>
    <w:p w14:paraId="597A8725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4C9F69D6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1AAC16F4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56F94ACF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34B7BB92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07A397C0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2A014DB5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0F0EF1FF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4B6683ED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36DFEF18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47E436F2" w14:textId="77777777" w:rsidR="00FA69F3" w:rsidRDefault="00000000">
      <w:pPr>
        <w:rPr>
          <w:rFonts w:ascii="黑体" w:eastAsia="黑体" w:hAnsi="黑体" w:cs="Arial" w:hint="eastAsia"/>
          <w:kern w:val="0"/>
          <w:sz w:val="32"/>
          <w:szCs w:val="32"/>
        </w:rPr>
      </w:pPr>
      <w:r>
        <w:rPr>
          <w:rFonts w:ascii="黑体" w:eastAsia="黑体" w:hAnsi="黑体" w:cs="Arial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Arial" w:hint="eastAsia"/>
          <w:kern w:val="0"/>
          <w:sz w:val="32"/>
          <w:szCs w:val="32"/>
        </w:rPr>
        <w:t>3</w:t>
      </w:r>
    </w:p>
    <w:p w14:paraId="191CC9D8" w14:textId="77777777" w:rsidR="00FA69F3" w:rsidRDefault="00000000">
      <w:pPr>
        <w:adjustRightInd w:val="0"/>
        <w:snapToGrid w:val="0"/>
        <w:spacing w:afterLines="100" w:after="312" w:line="620" w:lineRule="exact"/>
        <w:jc w:val="center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方正小标宋_GBK" w:eastAsia="方正小标宋_GBK" w:hAnsi="Arial" w:cs="Arial" w:hint="eastAsia"/>
          <w:bCs/>
          <w:kern w:val="0"/>
          <w:sz w:val="44"/>
          <w:szCs w:val="20"/>
        </w:rPr>
        <w:t>吴江区养老机构运营服务与权益保障标准化操作指引</w:t>
      </w:r>
    </w:p>
    <w:p w14:paraId="0078147A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为深入贯彻国家、省、市关于养老服务高质量发展决策部署，全面规范养老机构运营服务、人员管理、健康卫生与权益保障工作，提升服务精细化、标准化、规范化水平，切实保障入住老年人合法权益与生命健康安全，依据相关法律法规及标准规范，结合吴江区实际，制定本操作指引。</w:t>
      </w:r>
    </w:p>
    <w:p w14:paraId="19B637DB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一、人员岗位管理规范</w:t>
      </w:r>
    </w:p>
    <w:p w14:paraId="7E89947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1.岗位配置要求</w:t>
      </w:r>
    </w:p>
    <w:p w14:paraId="7F12732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按照机构规模、入住老年人数量及照护等级，科学设置管理、护理、医疗、安全、膳食、后勤等岗位，明确岗位职责与工作要求，做到定岗定人、责任明晰。</w:t>
      </w:r>
    </w:p>
    <w:p w14:paraId="01D7E15B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2.持证上岗要求</w:t>
      </w:r>
    </w:p>
    <w:p w14:paraId="51ED193A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从事护理、膳食、医疗护理等直接为老年人服务的人员，应当持有效健康证明上岗；养老护理、医疗、消防、餐饮等专业技术及特种岗位人员，应当具备相应资格证书或技能证明，关键岗位持证率100%。</w:t>
      </w:r>
    </w:p>
    <w:p w14:paraId="0FEDB69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3.护理配比要求</w:t>
      </w:r>
    </w:p>
    <w:p w14:paraId="2D838F23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养老护理员配备符合行业标准：自理老年人配比为1:15-1:20，部分自理老年人配比为1:8-1:12，完全不能自理老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lastRenderedPageBreak/>
        <w:t>年人配比为1:3-1:5。护理人员应满足24小时照护服务需求。</w:t>
      </w:r>
    </w:p>
    <w:p w14:paraId="2B16ECFC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4.值班值守要求</w:t>
      </w:r>
    </w:p>
    <w:p w14:paraId="298E4D06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严格执行24小时值班、日常巡查、交接班制度，规范值班巡查与交接记录，确保在岗在位、服务不间断、响应及时有效。</w:t>
      </w:r>
    </w:p>
    <w:p w14:paraId="532DB1F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二、教育培训管理规范</w:t>
      </w:r>
    </w:p>
    <w:p w14:paraId="1B1192A6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1.培训制度要求</w:t>
      </w:r>
    </w:p>
    <w:p w14:paraId="0C33A115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建立岗前培训、常态化培训、年度考核制度，从业人员上岗、转岗接受安全教育和技能培训。</w:t>
      </w:r>
    </w:p>
    <w:p w14:paraId="33B74DA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2.培训学时要求</w:t>
      </w:r>
    </w:p>
    <w:p w14:paraId="1A2A4A1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新入职人员应当经岗前培训并考核合格后方可上岗；在职人员每年继续教育培训不少于40学时，培训考核合格方可续岗。</w:t>
      </w:r>
    </w:p>
    <w:p w14:paraId="6369596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3.培训内容要求</w:t>
      </w:r>
    </w:p>
    <w:p w14:paraId="5B989B3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重点开展政策法规、职业道德、服务规范、安全防范、应急处置、消防安全、食品安全、失智照护等培训，定期组织应急演练。</w:t>
      </w:r>
    </w:p>
    <w:p w14:paraId="0887670C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4.培训档案要求</w:t>
      </w:r>
    </w:p>
    <w:p w14:paraId="4D88F793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健全培训档案，做到培训有计划、有记录、有考核、有存档，全面提升从业人员专业能力与安全素养。</w:t>
      </w:r>
    </w:p>
    <w:p w14:paraId="1A8E8F6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三、健康卫生管理规范</w:t>
      </w:r>
    </w:p>
    <w:p w14:paraId="6A213E4F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1.公共卫生要求</w:t>
      </w:r>
    </w:p>
    <w:p w14:paraId="1860444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严格落实公共卫生、环境卫生、个人卫生管理制度，保持老年人居室、活动场所、食堂、卫生间等区域整洁、通风、无异味。</w:t>
      </w:r>
    </w:p>
    <w:p w14:paraId="40272623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lastRenderedPageBreak/>
        <w:t>2.清洁消毒要求</w:t>
      </w:r>
    </w:p>
    <w:p w14:paraId="38EEF33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规范开展清洁、消毒、通风、垃圾分类及病媒生物防控，公共区域和高频接触部位每日清洁消毒不少于1次，并做好记录。</w:t>
      </w:r>
    </w:p>
    <w:p w14:paraId="41F5716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3.个人照料要求</w:t>
      </w:r>
    </w:p>
    <w:p w14:paraId="000C4FE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按规范做好老年人个人卫生照料，保持身体洁净、衣着整洁；加强健康巡查与传染病防控，发现异常及时处置、上报并协助就医。</w:t>
      </w:r>
    </w:p>
    <w:p w14:paraId="73619EA3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4.食品安全要求</w:t>
      </w:r>
    </w:p>
    <w:p w14:paraId="030FD7F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严格执行食品安全管理制度，落实索证索票、清洗消毒、食品留样等要求，食品留样不少于125克，留存时间不少于48小时，严防食品安全事故。</w:t>
      </w:r>
    </w:p>
    <w:p w14:paraId="11DDE77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四、服务运行管理规范</w:t>
      </w:r>
    </w:p>
    <w:p w14:paraId="0904AE6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1.入院评估要求</w:t>
      </w:r>
    </w:p>
    <w:p w14:paraId="13A443F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规范老年人入住评估、服务协议签订、照护等级确定流程，依据评估结果制定个性化照护方案，实现评估全覆盖、服务可追溯。</w:t>
      </w:r>
    </w:p>
    <w:p w14:paraId="1FCF652C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2.日常照料要求</w:t>
      </w:r>
    </w:p>
    <w:p w14:paraId="7268FCAF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按照照护等级提供生活照料、助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餐助浴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、助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助行、协助用药、康复护理、精神慰藉等服务，流程规范、记录完整、服务到位。</w:t>
      </w:r>
    </w:p>
    <w:p w14:paraId="40B2AC2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3.巡查监护要求</w:t>
      </w:r>
    </w:p>
    <w:p w14:paraId="21832145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落实查房巡护制度，日间按需巡查，夜间对重度失能老年人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lastRenderedPageBreak/>
        <w:t>巡查频次不低于每2小时1次，加强重点人群监护，及时处置突发情况。</w:t>
      </w:r>
    </w:p>
    <w:p w14:paraId="3EA02A6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4.出入管理要求</w:t>
      </w:r>
    </w:p>
    <w:p w14:paraId="2186D50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规范出入院、外出请假、家属探视、物品代管等管理，完善登记、告知与交接手续，强化风险防控，确保服务闭环。</w:t>
      </w:r>
    </w:p>
    <w:p w14:paraId="4CA76F2B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5.质量自查要求</w:t>
      </w:r>
    </w:p>
    <w:p w14:paraId="4E60A79A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建立服务质量每月自查整改机制，定期开展运营、服务、安全、卫生检查，持续提升规范化水平。</w:t>
      </w:r>
    </w:p>
    <w:p w14:paraId="6D0A96C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五、老年人权益保障规范</w:t>
      </w:r>
    </w:p>
    <w:p w14:paraId="4A468C2F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1.权益维护要求</w:t>
      </w:r>
    </w:p>
    <w:p w14:paraId="0F7CBCB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尊重老年人人格尊严、民族习俗与个人意愿等权利，依法保障老年人生命健康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与人身安全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、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个人信息与财产安全、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知情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同意与自由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选择等合法权益，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畅通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监督投诉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渠道，切实维护权益。</w:t>
      </w:r>
    </w:p>
    <w:p w14:paraId="3F60A9EC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</w:t>
      </w:r>
      <w:r>
        <w:rPr>
          <w:rFonts w:ascii="楷体_GB2312" w:eastAsia="楷体_GB2312" w:hAnsi="楷体_GB2312" w:cs="Arial"/>
          <w:bCs/>
          <w:kern w:val="0"/>
          <w:sz w:val="32"/>
          <w:szCs w:val="32"/>
        </w:rPr>
        <w:t>.</w:t>
      </w: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信息保密要求</w:t>
      </w:r>
    </w:p>
    <w:p w14:paraId="7A639CB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严格保护老年人个人信息与隐私，规范档案与监控管理，严禁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违规收集或不当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泄露、传播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或违法使用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个人信息。</w:t>
      </w:r>
    </w:p>
    <w:p w14:paraId="5A8044D0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3.收费公示要求</w:t>
      </w:r>
    </w:p>
    <w:p w14:paraId="05DCD71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服务项目、收费标准、投诉渠道等按规定公示，做到明码标价、规范透明，严禁违规收费、强制服务、捆绑收费。</w:t>
      </w:r>
    </w:p>
    <w:p w14:paraId="0433C2E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4.投诉处置要求</w:t>
      </w:r>
    </w:p>
    <w:p w14:paraId="50C7F67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健全投诉受理、处置、回访闭环机制，及时登记、处置、反馈诉求，投诉处置率100%，确保事事有回应、件件有落实。</w:t>
      </w:r>
    </w:p>
    <w:p w14:paraId="224662E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lastRenderedPageBreak/>
        <w:t>5.人文关怀要求</w:t>
      </w:r>
    </w:p>
    <w:p w14:paraId="014D42EA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加强人文关怀与心理疏导，关注老年人精神需求，严禁歧视、侮辱、虐待或遗弃老年人。</w:t>
      </w:r>
    </w:p>
    <w:p w14:paraId="0C0CBC50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六、监督管理与社会监督</w:t>
      </w:r>
    </w:p>
    <w:p w14:paraId="5FA1107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民政部门依法履行行业监管职责，强化信息公示、联合检查与隐患整改闭环管理。对运营服务不规范、权益保障不到位的养老机构依法督促整改，主动接受社会公众监督，持续提升机构服务质效。</w:t>
      </w:r>
    </w:p>
    <w:p w14:paraId="4101B4E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本方案未尽事宜，遵照国家、省、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市最新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养老服务相关法律法规及标准规范执行。</w:t>
      </w:r>
    </w:p>
    <w:p w14:paraId="7985FA40" w14:textId="77777777" w:rsidR="00FA69F3" w:rsidRDefault="00FA69F3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</w:pPr>
    </w:p>
    <w:p w14:paraId="23DE5E84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t>附：主要依据规范和文件</w:t>
      </w:r>
    </w:p>
    <w:p w14:paraId="24DCABC5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1.《中华人民共和国老年人权益保障法》</w:t>
      </w:r>
    </w:p>
    <w:p w14:paraId="40B678C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2.《养老机构管理办法》（民政部令第66号）</w:t>
      </w:r>
    </w:p>
    <w:p w14:paraId="3344972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3.《养老机构服务质量基本规范》（GB/T 35796-2017）</w:t>
      </w:r>
    </w:p>
    <w:p w14:paraId="69678EBA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4.《养老机构服务安全基本规范》（GB 38600-2019）</w:t>
      </w:r>
    </w:p>
    <w:p w14:paraId="44DB746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5.《养老机构岗位设置及人员配备规范》（MZ/T 187-2021）</w:t>
      </w:r>
    </w:p>
    <w:p w14:paraId="320E40E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6.《养老机构生活照料服务基本规范》（GB/T 46914-2025）</w:t>
      </w:r>
    </w:p>
    <w:p w14:paraId="67DDC14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7.《江苏省养老服务条例》</w:t>
      </w:r>
    </w:p>
    <w:p w14:paraId="414D94D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8.《江苏省养老机构等级划分与评定评分细则（第三版）》（苏民养老〔2024〕31号）</w:t>
      </w:r>
    </w:p>
    <w:p w14:paraId="5852FAB4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0268B0FF" w14:textId="77777777" w:rsidR="00FA69F3" w:rsidRDefault="00000000">
      <w:pPr>
        <w:rPr>
          <w:rFonts w:ascii="黑体" w:eastAsia="黑体" w:hAnsi="黑体" w:cs="Arial" w:hint="eastAsia"/>
          <w:kern w:val="0"/>
          <w:sz w:val="32"/>
          <w:szCs w:val="32"/>
        </w:rPr>
      </w:pPr>
      <w:r>
        <w:rPr>
          <w:rFonts w:ascii="黑体" w:eastAsia="黑体" w:hAnsi="黑体" w:cs="Arial" w:hint="eastAsia"/>
          <w:kern w:val="0"/>
          <w:sz w:val="32"/>
          <w:szCs w:val="32"/>
        </w:rPr>
        <w:lastRenderedPageBreak/>
        <w:t>附件4</w:t>
      </w:r>
    </w:p>
    <w:p w14:paraId="055AE5CE" w14:textId="77777777" w:rsidR="00FA69F3" w:rsidRDefault="00000000">
      <w:pPr>
        <w:adjustRightInd w:val="0"/>
        <w:snapToGrid w:val="0"/>
        <w:spacing w:afterLines="100" w:after="312" w:line="620" w:lineRule="exact"/>
        <w:jc w:val="center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方正小标宋_GBK" w:eastAsia="方正小标宋_GBK" w:hAnsi="Arial" w:cs="Arial" w:hint="eastAsia"/>
          <w:bCs/>
          <w:kern w:val="0"/>
          <w:sz w:val="44"/>
          <w:szCs w:val="20"/>
        </w:rPr>
        <w:t>吴江区养老机构安全管理标准化操作指引</w:t>
      </w:r>
    </w:p>
    <w:p w14:paraId="0B2EC80A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为深入贯彻国家、省、市关于养老服务高质量发展的决策部署，全面规范养老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机构消防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安全、建筑安全、食品安全、服务安全及应急处置管理，推进安全管理标准化、规范化、精细化建设，压实安全责任，保障入住老年人生命财产安全，依据相关法律法规、国家标准及行业规范，结合吴江区实际，制定本操作指引。</w:t>
      </w:r>
    </w:p>
    <w:p w14:paraId="1CBCD495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一、安全管理基础规范</w:t>
      </w:r>
    </w:p>
    <w:p w14:paraId="1334221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1.责任体系建设</w:t>
      </w:r>
    </w:p>
    <w:p w14:paraId="520D7825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严格落实“一岗双责、齐抓共管、失职追责”，建立机构主体负责、全员岗位落实、全程闭环管控的安全责任体系；明确安全管理机构及专（兼）职人员，完善制度、规程及岗位责任清单，确保责任层层传导、落实到人。</w:t>
      </w:r>
    </w:p>
    <w:p w14:paraId="69C6F376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/>
          <w:bCs/>
          <w:kern w:val="0"/>
          <w:sz w:val="32"/>
          <w:szCs w:val="32"/>
        </w:rPr>
        <w:t>2</w:t>
      </w: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.安全“六化”建设</w:t>
      </w:r>
    </w:p>
    <w:p w14:paraId="1076F5C6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 xml:space="preserve">推进安全管理六化：严格落实网格化、专业化、数字化、全员化、实体化、手册化要求，健全长效机制，提升本质安全水平。  </w:t>
      </w:r>
    </w:p>
    <w:p w14:paraId="3EBF62BB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/>
          <w:bCs/>
          <w:kern w:val="0"/>
          <w:sz w:val="32"/>
          <w:szCs w:val="32"/>
        </w:rPr>
        <w:t>3</w:t>
      </w: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.隐患排查治理</w:t>
      </w:r>
    </w:p>
    <w:p w14:paraId="4F3B637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建立日巡查、月检查、节假日前及重点时段专项检查机制；对安全隐患建立台账，落实整改措施、时限、责任人，实行闭环销号管理，确保隐患见底、整改彻底。</w:t>
      </w:r>
    </w:p>
    <w:p w14:paraId="3462D92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/>
          <w:bCs/>
          <w:kern w:val="0"/>
          <w:sz w:val="32"/>
          <w:szCs w:val="32"/>
        </w:rPr>
        <w:t>4</w:t>
      </w: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.安全教育培训</w:t>
      </w:r>
    </w:p>
    <w:p w14:paraId="4F3113EB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lastRenderedPageBreak/>
        <w:t>新入职、转岗人员须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经安全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培训合格上岗；机构每年至少组织1次全员安全培训，覆盖消防、食品、建筑、应急、服务安全等内容，培训档案规范可追溯。</w:t>
      </w:r>
    </w:p>
    <w:p w14:paraId="28D5F00B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/>
          <w:bCs/>
          <w:kern w:val="0"/>
          <w:sz w:val="32"/>
          <w:szCs w:val="32"/>
        </w:rPr>
        <w:t>5</w:t>
      </w: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.服务安全管控</w:t>
      </w:r>
    </w:p>
    <w:p w14:paraId="3266AF63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全面落实服务安全“九防”：防噎食、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防食品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药品误食、防压疮、防烫伤、防坠床、防跌倒、防他伤自伤、防走失、防文娱活动意外；对失能、半失能、认知障碍老年人实施重点防护、动态监护。</w:t>
      </w:r>
    </w:p>
    <w:p w14:paraId="2863373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二、消防安全管理规范</w:t>
      </w:r>
    </w:p>
    <w:p w14:paraId="01491E8F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1.消防安全责任</w:t>
      </w:r>
    </w:p>
    <w:p w14:paraId="6D25F990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压实消防安全主体责任，明确机构法定代表人或主要负责人为第一责任人；健全全员消防安全责任制，明晰管理人、安全员、区域包保人职责；在大厅、出入口等醒目位置公示责任人员姓名、职务、联系电话，接受监督。</w:t>
      </w:r>
    </w:p>
    <w:p w14:paraId="64E3EA3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2.建筑消防管控</w:t>
      </w:r>
    </w:p>
    <w:p w14:paraId="169C604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养老机构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须设置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在合法合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规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、符合消防安全条件的建筑内；严格执行建筑防火、无障碍建设标准；严禁擅自改变建筑结构、防火分区及消防设施布局。</w:t>
      </w:r>
    </w:p>
    <w:p w14:paraId="08271F2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3.设施器材管理</w:t>
      </w:r>
    </w:p>
    <w:p w14:paraId="5FE3B37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按标准配齐火灾自动报警、自动灭火、消火栓、应急照明、疏散指示、防火门、灭火器等设施器材；定期维护、保养、专业检测，确保完好有效、完好率100%。</w:t>
      </w:r>
    </w:p>
    <w:p w14:paraId="3D6916A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lastRenderedPageBreak/>
        <w:t>4.日常消防管理</w:t>
      </w:r>
    </w:p>
    <w:p w14:paraId="0396DB8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严格用火、用电、用气安全管控；严禁违规使用明火、大功率电器、私拉乱接电线、存放易燃易爆物品；保持疏散通道、安全出口畅通，严禁堵塞、占用、锁闭；明确疏散引导人员，落实特殊老年人一对一疏散帮扶。</w:t>
      </w:r>
    </w:p>
    <w:p w14:paraId="4D6FF81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5.消防队伍建设</w:t>
      </w:r>
    </w:p>
    <w:p w14:paraId="5B8CAF5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按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标准建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强微型消防站、组建志愿消防队伍，配齐救援装备器材；明确岗位职责，定期开展初起火灾扑救、疏散引导技能训练。</w:t>
      </w:r>
    </w:p>
    <w:p w14:paraId="3F2E9C0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6.演练与风险管控</w:t>
      </w:r>
    </w:p>
    <w:p w14:paraId="7A249E1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每半年至少组织1次全员消防疏散演练，提升逃生、自救互救能力；推进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智慧消防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建设，实行“红黄蓝”风险动态评估；高风险机构纳入区级重点台账，实行定人、定责、定时、定措施“四定”闭环管理。</w:t>
      </w:r>
    </w:p>
    <w:p w14:paraId="69D0F71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三、建筑与设施安全管理规范</w:t>
      </w:r>
    </w:p>
    <w:p w14:paraId="10A45CEA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1.建筑结构安全</w:t>
      </w:r>
    </w:p>
    <w:p w14:paraId="0C8D46E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严格执行养老机构建筑安全、防火、无障碍建设标准；定期排查维护建筑结构、围护墙体、屋面、防护栏杆、楼梯坡道、电气管线、燃气设施、特种设备等；规范内部装修改造，严禁擅自变更使用功能、破坏消防设施。3层及以上且总建筑面积大于3000㎡的养老机构，应在二层及以上各层每座疏散楼梯间相邻部位设置1间避难间。避难间采用耐火极限≥2.00h防火隔墙+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lastRenderedPageBreak/>
        <w:t>甲级防火门分隔，配备防烟设施、消防电话、应急广播、灭火器、应急照明等。</w:t>
      </w:r>
    </w:p>
    <w:p w14:paraId="22E5500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2.场所防护管理</w:t>
      </w:r>
    </w:p>
    <w:p w14:paraId="523CD78A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居室、走廊、卫生间、公共活动区等，规范设置防滑、防撞、防跌倒、防坠落设施；配齐安全抓杆、扶手、防护栏；场地平整、无障碍物、无尖锐边角，保障老年人活动安全。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做好特种设备安全管理，依法依规做好登记管理和日常维护保养，日常维护保养及时，及时排查隐患。</w:t>
      </w:r>
    </w:p>
    <w:p w14:paraId="0325BAA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四、食品安全管理规范</w:t>
      </w:r>
    </w:p>
    <w:p w14:paraId="59765343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1.许可与制度落实</w:t>
      </w:r>
    </w:p>
    <w:p w14:paraId="2B650CD5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内设食堂依法取得《食品经营许可证》；落实从业人员健康管理、进货查验、索证索票、清洗消毒、加工制作、食品留样等全流程制度；严格执行负责人陪餐制度，规范流程、做好记录、及时整改反馈。</w:t>
      </w:r>
    </w:p>
    <w:p w14:paraId="5EAA098A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2.智慧监管实施</w:t>
      </w:r>
    </w:p>
    <w:p w14:paraId="3C3CDBE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全面推行“明厨亮灶+互联网”在线监管模式，实现食品加工全过程可视化、可追溯，主动接受老年人、家属及监管部门监督。</w:t>
      </w:r>
    </w:p>
    <w:p w14:paraId="05CC4466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3.加工与卫生管控</w:t>
      </w:r>
    </w:p>
    <w:p w14:paraId="0868A1A0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食品加工、储存、烹饪、备餐、留样严格规范：生熟分开、烧熟煮透；留样≥125g、冷藏≥48小时、标识清晰、记录完整；从业人员持证上岗、规范着装；保持食堂及周边环境卫生、病媒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lastRenderedPageBreak/>
        <w:t>生物防控到位。</w:t>
      </w:r>
    </w:p>
    <w:p w14:paraId="310D1CD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五、应急处置管理规范</w:t>
      </w:r>
    </w:p>
    <w:p w14:paraId="5F173F6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1.应急预案编制</w:t>
      </w:r>
    </w:p>
    <w:p w14:paraId="19E895E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分类完善火灾、食品安全、突发疾病、意外伤害、极端天气、公共卫生等专项应急预案；明确处置流程、责任分工、人员转移安置措施，确保预案贴合实际、可操作。</w:t>
      </w:r>
    </w:p>
    <w:p w14:paraId="0ACBBB4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2.应急演练开展</w:t>
      </w:r>
    </w:p>
    <w:p w14:paraId="44DD408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定期组织实战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化综合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应急演练：每年至少1次综合演练、每半年至少1次消防专项演练，提升快速响应、协同处置能力。</w:t>
      </w:r>
    </w:p>
    <w:p w14:paraId="770166C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3.信息报送与值守</w:t>
      </w:r>
    </w:p>
    <w:p w14:paraId="0BD134D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健全突发事件信息报送机制；严格执行24小时值班、领导带班制度；发生突发事件，第一时间先期处置、按规定上报，严禁迟报、漏报、瞒报。</w:t>
      </w:r>
    </w:p>
    <w:p w14:paraId="73E5E84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六、监督管理要求</w:t>
      </w:r>
    </w:p>
    <w:p w14:paraId="560C345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民政部门联合住建、卫健</w:t>
      </w:r>
      <w:r>
        <w:rPr>
          <w:rFonts w:ascii="仿宋_GB2312" w:eastAsia="仿宋_GB2312" w:hAnsi="仿宋_GB2312" w:cs="Arial"/>
          <w:kern w:val="0"/>
          <w:sz w:val="32"/>
          <w:szCs w:val="32"/>
        </w:rPr>
        <w:t>、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市场监管、</w:t>
      </w:r>
      <w:r>
        <w:rPr>
          <w:rFonts w:ascii="仿宋_GB2312" w:eastAsia="仿宋_GB2312" w:hAnsi="仿宋_GB2312" w:cs="Arial"/>
          <w:kern w:val="0"/>
          <w:sz w:val="32"/>
          <w:szCs w:val="32"/>
        </w:rPr>
        <w:t>消防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救援等部门，依法履行行业监管与综合监管职责；强化常态化联合检查、督导督办、隐患闭环管理；对责任不落实、管理不规范、隐患整改不到位的机构，依法督促整改、依规处置，全程接受社会监督，坚决守住安全底线。</w:t>
      </w:r>
    </w:p>
    <w:p w14:paraId="2D41044A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本方案未尽事宜，遵照国家、省、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市最新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养老服务相关法律法规及标准规范执行。</w:t>
      </w:r>
    </w:p>
    <w:p w14:paraId="324E4913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00562E9B" w14:textId="77777777" w:rsidR="00FA69F3" w:rsidRDefault="00000000">
      <w:pPr>
        <w:adjustRightInd w:val="0"/>
        <w:snapToGrid w:val="0"/>
        <w:spacing w:line="560" w:lineRule="exact"/>
        <w:ind w:firstLineChars="200" w:firstLine="643"/>
        <w:jc w:val="left"/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  <w:lastRenderedPageBreak/>
        <w:t>附：主要依据规范与文件</w:t>
      </w:r>
    </w:p>
    <w:p w14:paraId="0546957A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1.《中华人民共和国安全生产法》</w:t>
      </w:r>
    </w:p>
    <w:p w14:paraId="7FE1206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2.《中华人民共和国消防法》</w:t>
      </w:r>
    </w:p>
    <w:p w14:paraId="7AA497F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3.《中华人民共和国食品安全法》</w:t>
      </w:r>
    </w:p>
    <w:p w14:paraId="1765FD1A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4.《养老机构管理办法》（民政部令第66号）</w:t>
      </w:r>
    </w:p>
    <w:p w14:paraId="3EAB8E5C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5.《养老机构服务安全基本规范》（GB 38600-2019）</w:t>
      </w:r>
    </w:p>
    <w:p w14:paraId="568136F0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6.《建筑防火通用规范》（GB 55037-2022）</w:t>
      </w:r>
    </w:p>
    <w:p w14:paraId="36257506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7.《养老机构消防安全管理规定》（民发〔2023〕37号）</w:t>
      </w:r>
    </w:p>
    <w:p w14:paraId="560726D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/>
          <w:kern w:val="0"/>
          <w:sz w:val="32"/>
          <w:szCs w:val="32"/>
        </w:rPr>
        <w:t>8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.《养老机构服务质量基本规范》（GB/T 35796-2017）</w:t>
      </w:r>
    </w:p>
    <w:p w14:paraId="6B6AFB9F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/>
          <w:kern w:val="0"/>
          <w:sz w:val="32"/>
          <w:szCs w:val="32"/>
        </w:rPr>
        <w:t>9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.《江苏省养老服务条例》</w:t>
      </w:r>
    </w:p>
    <w:p w14:paraId="0243EEF6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033311F0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5943CB00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18CFB349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731DC61E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58465B7E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1E30CE83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516F33FB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322A0D76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12532337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1A7AA310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6DCE6B7C" w14:textId="77777777" w:rsidR="00FA69F3" w:rsidRDefault="00000000">
      <w:pPr>
        <w:rPr>
          <w:rFonts w:ascii="黑体" w:eastAsia="黑体" w:hAnsi="黑体" w:cs="Arial" w:hint="eastAsia"/>
          <w:kern w:val="0"/>
          <w:sz w:val="32"/>
          <w:szCs w:val="32"/>
        </w:rPr>
      </w:pPr>
      <w:r>
        <w:rPr>
          <w:rFonts w:ascii="黑体" w:eastAsia="黑体" w:hAnsi="黑体" w:cs="Arial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Arial" w:hint="eastAsia"/>
          <w:kern w:val="0"/>
          <w:sz w:val="32"/>
          <w:szCs w:val="32"/>
        </w:rPr>
        <w:t>5</w:t>
      </w:r>
    </w:p>
    <w:p w14:paraId="22FE699D" w14:textId="77777777" w:rsidR="00FA69F3" w:rsidRDefault="00000000">
      <w:pPr>
        <w:adjustRightInd w:val="0"/>
        <w:snapToGrid w:val="0"/>
        <w:spacing w:afterLines="100" w:after="312" w:line="620" w:lineRule="exact"/>
        <w:jc w:val="center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方正小标宋_GBK" w:eastAsia="方正小标宋_GBK" w:hAnsi="Arial" w:cs="Arial" w:hint="eastAsia"/>
          <w:bCs/>
          <w:kern w:val="0"/>
          <w:sz w:val="44"/>
          <w:szCs w:val="20"/>
        </w:rPr>
        <w:t>吴江区养老机构</w:t>
      </w:r>
      <w:proofErr w:type="gramStart"/>
      <w:r>
        <w:rPr>
          <w:rFonts w:ascii="方正小标宋_GBK" w:eastAsia="方正小标宋_GBK" w:hAnsi="Arial" w:cs="Arial" w:hint="eastAsia"/>
          <w:bCs/>
          <w:kern w:val="0"/>
          <w:sz w:val="44"/>
          <w:szCs w:val="20"/>
        </w:rPr>
        <w:t>医</w:t>
      </w:r>
      <w:proofErr w:type="gramEnd"/>
      <w:r>
        <w:rPr>
          <w:rFonts w:ascii="方正小标宋_GBK" w:eastAsia="方正小标宋_GBK" w:hAnsi="Arial" w:cs="Arial" w:hint="eastAsia"/>
          <w:bCs/>
          <w:kern w:val="0"/>
          <w:sz w:val="44"/>
          <w:szCs w:val="20"/>
        </w:rPr>
        <w:t>养结合标准化操作指引</w:t>
      </w:r>
    </w:p>
    <w:p w14:paraId="15265F5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为深入贯彻国家、省、市关于养老服务高质量发展决策部署，全面规范养老机构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养结合服务管理，健全医疗、护理、康复、健康管理与应急处置服务体系，提升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养结合服务标准化、规范化、专业化水平，切实保障入住老年人生命健康安全与合法权益，依据相关法律法规及标准规范，结合吴江区实际，制定本操作指引。</w:t>
      </w:r>
    </w:p>
    <w:p w14:paraId="7C25368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一、</w:t>
      </w:r>
      <w:proofErr w:type="gramStart"/>
      <w:r>
        <w:rPr>
          <w:rFonts w:ascii="黑体" w:eastAsia="黑体" w:hAnsi="黑体" w:cs="Arial" w:hint="eastAsia"/>
          <w:bCs/>
          <w:kern w:val="0"/>
          <w:sz w:val="32"/>
          <w:szCs w:val="32"/>
        </w:rPr>
        <w:t>医养服务</w:t>
      </w:r>
      <w:proofErr w:type="gramEnd"/>
      <w:r>
        <w:rPr>
          <w:rFonts w:ascii="黑体" w:eastAsia="黑体" w:hAnsi="黑体" w:cs="Arial" w:hint="eastAsia"/>
          <w:bCs/>
          <w:kern w:val="0"/>
          <w:sz w:val="32"/>
          <w:szCs w:val="32"/>
        </w:rPr>
        <w:t>配置规范</w:t>
      </w:r>
    </w:p>
    <w:p w14:paraId="3AA96DF3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1.机构设置要求</w:t>
      </w:r>
    </w:p>
    <w:p w14:paraId="10EBD0D5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养老机构应当根据服务规模、老年人照护等级与医疗需求，按规定设置医务室、护理站、康复室等医疗服务场所，符合医疗机构基本标准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与院感防控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要求，依法依规开展相关服务。</w:t>
      </w:r>
    </w:p>
    <w:p w14:paraId="41B72EC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2.人员配备要求</w:t>
      </w:r>
    </w:p>
    <w:p w14:paraId="2B8A795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配备与服务范围相适应的执业医师、执业护士、康复治疗人员、养老护理员等专业人员，相关人员应当具备相应执业资格或技能证书，持证上岗率100%，规范执业。</w:t>
      </w:r>
    </w:p>
    <w:p w14:paraId="7A5E9BE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3.设施设备要求</w:t>
      </w:r>
    </w:p>
    <w:p w14:paraId="1A90EDA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按标准配备急救设备、康复器械、消毒设施、常用药品与急救药品，建立设备定期巡检、维护保养制度，确保设施设备完好有效、安全运行。</w:t>
      </w:r>
    </w:p>
    <w:p w14:paraId="44FAD53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lastRenderedPageBreak/>
        <w:t>二、健康管理服务规范</w:t>
      </w:r>
    </w:p>
    <w:p w14:paraId="65D1C6B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1.健康档案要求</w:t>
      </w:r>
    </w:p>
    <w:p w14:paraId="3BC1355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为入住老年人建立健全健康档案，实行一人一档、动态管理。健康状况无特殊变化时，每季度至少记录1次；健康状况出现异常时及时更新记录；每年至少开展1次健康体检并归档，档案信息完整、可追溯。</w:t>
      </w:r>
    </w:p>
    <w:p w14:paraId="7E293DA6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2.健康评估要求</w:t>
      </w:r>
    </w:p>
    <w:p w14:paraId="0F2EF5BB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规范开展入院评估、定期评估与动态复评。每年至少开展1次阶段性服务安全风险评估，重点评估老年人健康状况、慢性病管理、失能程度、心理状态与服务需求，依据评估结果制定个性化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医养服务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方案。</w:t>
      </w:r>
    </w:p>
    <w:p w14:paraId="1795B41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3.健康监测要求</w:t>
      </w:r>
    </w:p>
    <w:p w14:paraId="652BAAA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做好老年人日常健康巡查、生命体征监测、慢性病随访与健康指导，对高血压、糖尿病等慢性病老年人实行分类管理、定期干预，及时发现并处置健康异常。</w:t>
      </w:r>
    </w:p>
    <w:p w14:paraId="573FAF80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三、医疗护理服务规范</w:t>
      </w:r>
    </w:p>
    <w:p w14:paraId="413C969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1.基本医疗服务要求</w:t>
      </w:r>
    </w:p>
    <w:p w14:paraId="4C6B126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依法依规开展常见病、多发病诊疗、健康咨询、用药指导、协助就医等服务，严格执行诊疗规范、护理规范、消毒隔离与医疗废物处置制度，保障医疗服务安全。</w:t>
      </w:r>
    </w:p>
    <w:p w14:paraId="42AEB01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2.生活护理服务要求</w:t>
      </w:r>
    </w:p>
    <w:p w14:paraId="42A57F86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按照照护等级与老年人身体状况，提供生活照料、压疮预防、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lastRenderedPageBreak/>
        <w:t>口腔护理、排泄护理、协助进食、翻身叩背等服务，有效防范跌倒、坠床、噎食、压疮等风险。</w:t>
      </w:r>
    </w:p>
    <w:p w14:paraId="621A217A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3.用药管理要求</w:t>
      </w:r>
    </w:p>
    <w:p w14:paraId="1F83317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规范老年人内服、外用药品的领取、保管、分发、服用与记录，实行专人管理、双人核对、精准给药，严禁错服、漏服、擅自停药，保障用药安全。</w:t>
      </w:r>
    </w:p>
    <w:p w14:paraId="070C9A0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四、康复服务规范</w:t>
      </w:r>
    </w:p>
    <w:p w14:paraId="097D366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1.康复评估要求</w:t>
      </w:r>
    </w:p>
    <w:p w14:paraId="239C50E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对有康复需求的老年人开展专业康复评估，制定个性化康复方案，提供运动疗法、作业疗法、认知训练、功能锻炼等适宜性康复服务。</w:t>
      </w:r>
    </w:p>
    <w:p w14:paraId="3ED78435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2.康复实施要求</w:t>
      </w:r>
    </w:p>
    <w:p w14:paraId="6CF7AF2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按照规范开展康复训练，做好过程记录与效果评价，循序渐进、科学实施，促进老年人身体功能改善与生活自理能力提升。</w:t>
      </w:r>
    </w:p>
    <w:p w14:paraId="750688EF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3.康复场所要求</w:t>
      </w:r>
    </w:p>
    <w:p w14:paraId="16C03416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康复区域布局合理、安全防滑、通风采光良好，严格执行清洁消毒与安全管理规定，为老年人提供安全舒适的康复环境。</w:t>
      </w:r>
    </w:p>
    <w:p w14:paraId="669ADBD3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五、</w:t>
      </w:r>
      <w:proofErr w:type="gramStart"/>
      <w:r>
        <w:rPr>
          <w:rFonts w:ascii="黑体" w:eastAsia="黑体" w:hAnsi="黑体" w:cs="Arial" w:hint="eastAsia"/>
          <w:bCs/>
          <w:kern w:val="0"/>
          <w:sz w:val="32"/>
          <w:szCs w:val="32"/>
        </w:rPr>
        <w:t>医</w:t>
      </w:r>
      <w:proofErr w:type="gramEnd"/>
      <w:r>
        <w:rPr>
          <w:rFonts w:ascii="黑体" w:eastAsia="黑体" w:hAnsi="黑体" w:cs="Arial" w:hint="eastAsia"/>
          <w:bCs/>
          <w:kern w:val="0"/>
          <w:sz w:val="32"/>
          <w:szCs w:val="32"/>
        </w:rPr>
        <w:t>养协作与应急处置规范</w:t>
      </w:r>
    </w:p>
    <w:p w14:paraId="5DF01175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</w:t>
      </w:r>
      <w:proofErr w:type="gramStart"/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医</w:t>
      </w:r>
      <w:proofErr w:type="gramEnd"/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养协作要求</w:t>
      </w:r>
    </w:p>
    <w:p w14:paraId="5DDA8D3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加强与周边医疗机构合作，建立健全双向转诊、绿色通道、远程会诊、联合巡诊机制，确保老年人患病得到及时、高效、连续的诊疗服务。</w:t>
      </w:r>
    </w:p>
    <w:p w14:paraId="2469784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lastRenderedPageBreak/>
        <w:t>2.应急处置要求</w:t>
      </w:r>
    </w:p>
    <w:p w14:paraId="7D377C0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建立突发疾病、意外伤害、心脑血管急症等应急预案，配备应急物资与设备，每年至少组织1次应急演练，确保快速响应、规范处置、及时转运。</w:t>
      </w:r>
    </w:p>
    <w:p w14:paraId="549E02A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3.感染防控要求</w:t>
      </w:r>
    </w:p>
    <w:p w14:paraId="4CD82F36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严格落实院内感染防控、消毒隔离、传染病监测报告制度，做好人员防护、环境消杀、医疗废物规范处置，严防交叉感染。</w:t>
      </w:r>
    </w:p>
    <w:p w14:paraId="1C97F81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六、监督管理与社会监督</w:t>
      </w:r>
    </w:p>
    <w:p w14:paraId="0D158385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民政部门会同卫生健康等部门依法履行行业监管职责，强化信息公示、联合检查与隐患整改闭环管理。对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养结合服务不规范、管理不到位、存在安全风险的养老机构依法督促整改，主动接受社会公众监督，持续提升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医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养结合服务质量与管理水平。</w:t>
      </w:r>
    </w:p>
    <w:p w14:paraId="0D632DC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本方案未尽事宜，遵照国家、省、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市最新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养老服务相关法律法规及标准规范执行。</w:t>
      </w:r>
    </w:p>
    <w:p w14:paraId="30E0086E" w14:textId="77777777" w:rsidR="00FA69F3" w:rsidRDefault="00FA69F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</w:p>
    <w:p w14:paraId="1DB03556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宋体" w:hint="eastAsia"/>
          <w:b/>
          <w:bCs/>
          <w:kern w:val="0"/>
          <w:sz w:val="32"/>
          <w:szCs w:val="32"/>
        </w:rPr>
        <w:t>附：主要依据规范与文件</w:t>
      </w:r>
    </w:p>
    <w:p w14:paraId="0BFAE1C3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1.《中华人民共和国老年人权益保障法》</w:t>
      </w:r>
    </w:p>
    <w:p w14:paraId="32B3AE30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2.《养老机构管理办法》（民政部令第66号）</w:t>
      </w:r>
    </w:p>
    <w:p w14:paraId="322E31B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3.《养老机构服务安全基本规范》</w:t>
      </w:r>
      <w:r>
        <w:rPr>
          <w:rFonts w:ascii="仿宋_GB2312" w:eastAsia="仿宋_GB2312" w:hAnsi="仿宋_GB2312" w:cs="Arial"/>
          <w:kern w:val="0"/>
          <w:sz w:val="32"/>
          <w:szCs w:val="32"/>
        </w:rPr>
        <w:t>（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GB 38600-2019</w:t>
      </w:r>
      <w:r>
        <w:rPr>
          <w:rFonts w:ascii="仿宋_GB2312" w:eastAsia="仿宋_GB2312" w:hAnsi="仿宋_GB2312" w:cs="Arial"/>
          <w:kern w:val="0"/>
          <w:sz w:val="32"/>
          <w:szCs w:val="32"/>
        </w:rPr>
        <w:t>）</w:t>
      </w:r>
    </w:p>
    <w:p w14:paraId="31352D5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4.《养老机构服务质量基本规范》</w:t>
      </w:r>
      <w:r>
        <w:rPr>
          <w:rFonts w:ascii="仿宋_GB2312" w:eastAsia="仿宋_GB2312" w:hAnsi="仿宋_GB2312" w:cs="Arial"/>
          <w:kern w:val="0"/>
          <w:sz w:val="32"/>
          <w:szCs w:val="32"/>
        </w:rPr>
        <w:t>（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GB/T 35796-2017</w:t>
      </w:r>
      <w:r>
        <w:rPr>
          <w:rFonts w:ascii="仿宋_GB2312" w:eastAsia="仿宋_GB2312" w:hAnsi="仿宋_GB2312" w:cs="Arial"/>
          <w:kern w:val="0"/>
          <w:sz w:val="32"/>
          <w:szCs w:val="32"/>
        </w:rPr>
        <w:t>）</w:t>
      </w:r>
    </w:p>
    <w:p w14:paraId="601A2F5C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5.《养老机构等级划分与评定》国家标准实施指南（2023版）</w:t>
      </w:r>
    </w:p>
    <w:p w14:paraId="6797CFCF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lastRenderedPageBreak/>
        <w:t>6.《养老机构老年人健康档案管理规范》</w:t>
      </w:r>
      <w:r>
        <w:rPr>
          <w:rFonts w:ascii="仿宋_GB2312" w:eastAsia="仿宋_GB2312" w:hAnsi="仿宋_GB2312" w:cs="Arial"/>
          <w:kern w:val="0"/>
          <w:sz w:val="32"/>
          <w:szCs w:val="32"/>
        </w:rPr>
        <w:t>（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MZ/T 168-2021</w:t>
      </w:r>
      <w:r>
        <w:rPr>
          <w:rFonts w:ascii="仿宋_GB2312" w:eastAsia="仿宋_GB2312" w:hAnsi="仿宋_GB2312" w:cs="Arial"/>
          <w:kern w:val="0"/>
          <w:sz w:val="32"/>
          <w:szCs w:val="32"/>
        </w:rPr>
        <w:t>）</w:t>
      </w:r>
    </w:p>
    <w:p w14:paraId="460C2DE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7.《江苏省养老服务条例》</w:t>
      </w:r>
    </w:p>
    <w:p w14:paraId="5C4A2B3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8.《江苏省养老机构医养结合服务规范》</w:t>
      </w:r>
      <w:r>
        <w:rPr>
          <w:rFonts w:ascii="仿宋_GB2312" w:eastAsia="仿宋_GB2312" w:hAnsi="仿宋_GB2312" w:cs="Arial"/>
          <w:kern w:val="0"/>
          <w:sz w:val="32"/>
          <w:szCs w:val="32"/>
        </w:rPr>
        <w:t>（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DB32/T 3460-2018</w:t>
      </w:r>
      <w:r>
        <w:rPr>
          <w:rFonts w:ascii="仿宋_GB2312" w:eastAsia="仿宋_GB2312" w:hAnsi="仿宋_GB2312" w:cs="Arial"/>
          <w:kern w:val="0"/>
          <w:sz w:val="32"/>
          <w:szCs w:val="32"/>
        </w:rPr>
        <w:t>）</w:t>
      </w:r>
    </w:p>
    <w:p w14:paraId="2467F80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9.《江苏省养老机构等级划分与评定评分细则（第三版）》（苏民养老〔2024〕31号）</w:t>
      </w:r>
    </w:p>
    <w:p w14:paraId="43A3F13A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036A0422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152D3976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030224AF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044605A0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0D527983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300C4B68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62B5A189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6D02E606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233F6B8B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530D749C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463F5897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0736837B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515ECB5E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3CACAC24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4754B67F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17EA02AD" w14:textId="77777777" w:rsidR="00FA69F3" w:rsidRDefault="00000000">
      <w:pPr>
        <w:rPr>
          <w:rFonts w:ascii="黑体" w:eastAsia="黑体" w:hAnsi="黑体" w:cs="Arial" w:hint="eastAsia"/>
          <w:kern w:val="0"/>
          <w:sz w:val="32"/>
          <w:szCs w:val="32"/>
        </w:rPr>
      </w:pPr>
      <w:r>
        <w:rPr>
          <w:rFonts w:ascii="黑体" w:eastAsia="黑体" w:hAnsi="黑体" w:cs="Arial" w:hint="eastAsia"/>
          <w:kern w:val="0"/>
          <w:sz w:val="32"/>
          <w:szCs w:val="32"/>
        </w:rPr>
        <w:lastRenderedPageBreak/>
        <w:t>附件6</w:t>
      </w:r>
    </w:p>
    <w:p w14:paraId="077566D7" w14:textId="77777777" w:rsidR="00FA69F3" w:rsidRDefault="00000000">
      <w:pPr>
        <w:adjustRightInd w:val="0"/>
        <w:snapToGrid w:val="0"/>
        <w:spacing w:afterLines="100" w:after="312" w:line="620" w:lineRule="exact"/>
        <w:jc w:val="center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方正小标宋_GBK" w:eastAsia="方正小标宋_GBK" w:hAnsi="Arial" w:cs="Arial" w:hint="eastAsia"/>
          <w:bCs/>
          <w:kern w:val="0"/>
          <w:sz w:val="44"/>
          <w:szCs w:val="20"/>
        </w:rPr>
        <w:t>吴江区养老机构资金监管标准化操作指引</w:t>
      </w:r>
    </w:p>
    <w:p w14:paraId="3DF6FE3A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为深入贯彻国家、省、市关于养老服务高质量发展决策部署，全面规范养老机构收费管理、预收费监管、资金存管、退费结算与财政补助资金使用，防范资金风险，保障老年人财产安全和合法权益，依据相关法律法规及标准规范，结合吴江区实际，制定本操作指引。</w:t>
      </w:r>
    </w:p>
    <w:p w14:paraId="4783D2C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一、收费项目与公示管理规范</w:t>
      </w:r>
    </w:p>
    <w:p w14:paraId="273A2916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1.收费分类要求</w:t>
      </w:r>
    </w:p>
    <w:p w14:paraId="7D46F01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养老机构收费主要包括养老服务费、押金、会员费三类，严格按照国家、省、市相关规定收取，严禁自立项目、分解项目、超标准、重复收费等违法违规行为。</w:t>
      </w:r>
    </w:p>
    <w:p w14:paraId="25752D3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2.公示公开要求</w:t>
      </w:r>
    </w:p>
    <w:p w14:paraId="1B54A43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在服务场所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、网络官方平台等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显著位置全面公示服务项目、收费标准、计价方式、政策依据、投诉渠道等信息，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依法报送，并确保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内容真实准确、更新及时，线上线下保持一致。</w:t>
      </w:r>
    </w:p>
    <w:p w14:paraId="192CE13F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3.协议约定要求</w:t>
      </w:r>
    </w:p>
    <w:p w14:paraId="69C9ECC0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收费、退费、预收等事项须在服务协议中明确约定，履行风险告知义务，严禁强制服务、捆绑收费、以返利等方式诱导预交费用。</w:t>
      </w:r>
    </w:p>
    <w:p w14:paraId="028C6AC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二、预收费额度管理规范</w:t>
      </w:r>
    </w:p>
    <w:p w14:paraId="5FEA0746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lastRenderedPageBreak/>
        <w:t>1.预收周期要求</w:t>
      </w:r>
    </w:p>
    <w:p w14:paraId="3025E93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养老服务费预收周期最长不得超过6个月，鼓励按月收取，不得一次性变相超期预收。</w:t>
      </w:r>
    </w:p>
    <w:p w14:paraId="3971ADB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2.押金限额要求</w:t>
      </w:r>
    </w:p>
    <w:p w14:paraId="5922162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对单个老年人一次性收取的押金，不得超过该老年人月床位费的12倍。</w:t>
      </w:r>
    </w:p>
    <w:p w14:paraId="0BB9AE3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3.会员费管理要求</w:t>
      </w:r>
    </w:p>
    <w:p w14:paraId="6D5E379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公办、公建民营养老机构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、政府与社会力量合作建设养老机构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不得收取会员费；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符合条件的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民办机构收取会员费的，按规定备案并纳入监管，对单个老年人收取的会员费不得超过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该老年人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月床位费的12倍。</w:t>
      </w:r>
    </w:p>
    <w:p w14:paraId="5287AF7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4.总额管控要求</w:t>
      </w:r>
    </w:p>
    <w:p w14:paraId="3A633BC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养老机构预收费用总额不得超出其固定资产净额，已设定担保物权的资产价值不计入固定资产净额。</w:t>
      </w:r>
    </w:p>
    <w:p w14:paraId="0BF9091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三、预收费资金存管规范</w:t>
      </w:r>
    </w:p>
    <w:p w14:paraId="6BDDF830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1.专用账户要求</w:t>
      </w:r>
    </w:p>
    <w:p w14:paraId="3D8744EB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实行预收费的养老机构，应当开设预收费资金专用存款账户，签订民政、机构、银行三方监管协议，实行专户存储、专款专用、封闭运行。</w:t>
      </w:r>
    </w:p>
    <w:p w14:paraId="096BD26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2.资金归集要求</w:t>
      </w:r>
    </w:p>
    <w:p w14:paraId="0873638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预收的养老服务费、押金、会员费等资金，全额及时存入专用账户，不得使用基本账户、一般账户或个人账户收取、存放、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lastRenderedPageBreak/>
        <w:t>划转。</w:t>
      </w:r>
    </w:p>
    <w:p w14:paraId="4DBE0F0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3.存管运行要求</w:t>
      </w:r>
    </w:p>
    <w:p w14:paraId="0F53695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押金、会员费按规定实行第三方存管与风险保证金管理，资金支出、退费、划转符合约定用途，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不得用于法律法规禁止或限制的用途与情形，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接受监管与核查。</w:t>
      </w:r>
    </w:p>
    <w:p w14:paraId="0DFD1ABB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4.信息报送要求</w:t>
      </w:r>
    </w:p>
    <w:p w14:paraId="41F72F8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按规定向备案地民政部门报送预收费备案、资金存管、财务运行等材料，确保真实完整、可追溯。</w:t>
      </w:r>
    </w:p>
    <w:p w14:paraId="42E745B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四、退费结算管理规范</w:t>
      </w:r>
    </w:p>
    <w:p w14:paraId="3D69E74D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1.正常退费要求</w:t>
      </w:r>
    </w:p>
    <w:p w14:paraId="22DB57C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符合协议约定退费情形的，应当及时、足额、原渠道退还剩余预收资金，不得无故拒绝、拖延、克扣。</w:t>
      </w:r>
    </w:p>
    <w:p w14:paraId="53C443B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2.终止服务退费要求</w:t>
      </w:r>
    </w:p>
    <w:p w14:paraId="2B66A11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养老机构暂停、终止养老服务的，提前30日发布相关信息，一次性结清并全额退还剩余预收费用。</w:t>
      </w:r>
    </w:p>
    <w:p w14:paraId="1B3DDDFF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3.争议处置要求</w:t>
      </w:r>
    </w:p>
    <w:p w14:paraId="2F7A4ACB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因收费、退费产生纠纷的，通过协商、调解、仲裁、诉讼等途径依法依规处置，维护老年人合法权益。</w:t>
      </w:r>
    </w:p>
    <w:p w14:paraId="0194085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五、财政补助资金管理规范</w:t>
      </w:r>
    </w:p>
    <w:p w14:paraId="2710CD1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1.申报使用要求</w:t>
      </w:r>
    </w:p>
    <w:p w14:paraId="4A98E33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申报材料真实、准确、完整，严禁虚报、冒领、套取补助资金。</w:t>
      </w:r>
    </w:p>
    <w:p w14:paraId="6652987A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lastRenderedPageBreak/>
        <w:t>2.规范使用要求</w:t>
      </w:r>
    </w:p>
    <w:p w14:paraId="09B0657A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财政补助资金实行专账核算、专项使用，按规定用途列支，不得截留、挤占、挪用或擅自改变使用方向。</w:t>
      </w:r>
    </w:p>
    <w:p w14:paraId="4F31B50A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3.台账档案要求</w:t>
      </w:r>
    </w:p>
    <w:p w14:paraId="40FB118E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规范建立补助资金申请、审核、拨付、使用、公示全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过程台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账，做到账证相符、账实相符、全程可核查。</w:t>
      </w:r>
    </w:p>
    <w:p w14:paraId="7ADD550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4.监督配合要求</w:t>
      </w:r>
    </w:p>
    <w:p w14:paraId="181371E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主动接受财政、审计、民政等部门监督检查与绩效评价，对发现的问题按期整改到位。</w:t>
      </w:r>
    </w:p>
    <w:p w14:paraId="3D04FFFC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六、风险防控与禁止行为规范</w:t>
      </w:r>
    </w:p>
    <w:p w14:paraId="03DD3D5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1.风险排查要求</w:t>
      </w:r>
    </w:p>
    <w:p w14:paraId="59860CF0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建立资金风险常态化自查机制，定期开展收费合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规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、资金安全、预收费监管落实情况排查整改。</w:t>
      </w:r>
    </w:p>
    <w:p w14:paraId="06AB3C17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Arial" w:hint="eastAsia"/>
          <w:bCs/>
          <w:kern w:val="0"/>
          <w:sz w:val="32"/>
          <w:szCs w:val="32"/>
        </w:rPr>
      </w:pPr>
      <w:r>
        <w:rPr>
          <w:rFonts w:ascii="楷体_GB2312" w:eastAsia="楷体_GB2312" w:hAnsi="楷体_GB2312" w:cs="Arial" w:hint="eastAsia"/>
          <w:bCs/>
          <w:kern w:val="0"/>
          <w:sz w:val="32"/>
          <w:szCs w:val="32"/>
        </w:rPr>
        <w:t>2.禁止行为要求</w:t>
      </w:r>
    </w:p>
    <w:p w14:paraId="722CFD38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不得作虚假或者引人误解的宣传；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严禁非法集资、吸收或变相吸收公众存款；严禁挪用预收费资金用于高风险投资；严禁侵害老年人资金安全的违法违规行为。</w:t>
      </w:r>
    </w:p>
    <w:p w14:paraId="42FB3665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七、监督管理与社会监督</w:t>
      </w:r>
    </w:p>
    <w:p w14:paraId="3A628DA5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民政部门依法履行行业监管职责，强化信息公示、联合检查与隐患整改闭环管理。对资金管理不规范、收费违规、未落实预收费监管等养老机构依法督促整改；涉嫌违法</w:t>
      </w:r>
      <w:r>
        <w:rPr>
          <w:rFonts w:ascii="仿宋_GB2312" w:eastAsia="仿宋_GB2312" w:hAnsi="仿宋_GB2312" w:cs="宋体" w:hint="eastAsia"/>
          <w:kern w:val="0"/>
          <w:sz w:val="32"/>
          <w:szCs w:val="32"/>
        </w:rPr>
        <w:t>犯罪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的，移交相关部门处理，主动接受社会公众监督，筑牢养老资金安全防线。</w:t>
      </w:r>
    </w:p>
    <w:p w14:paraId="71E0BB5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lastRenderedPageBreak/>
        <w:t>本方案未尽事宜，遵照国家、省、</w:t>
      </w:r>
      <w:proofErr w:type="gramStart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市最新</w:t>
      </w:r>
      <w:proofErr w:type="gramEnd"/>
      <w:r>
        <w:rPr>
          <w:rFonts w:ascii="仿宋_GB2312" w:eastAsia="仿宋_GB2312" w:hAnsi="仿宋_GB2312" w:cs="Arial" w:hint="eastAsia"/>
          <w:kern w:val="0"/>
          <w:sz w:val="32"/>
          <w:szCs w:val="32"/>
        </w:rPr>
        <w:t>养老服务相关法律法规及标准规范执行。</w:t>
      </w:r>
    </w:p>
    <w:p w14:paraId="557F2476" w14:textId="77777777" w:rsidR="00FA69F3" w:rsidRDefault="00000000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Arial" w:hint="eastAsia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宋体" w:hint="eastAsia"/>
          <w:b/>
          <w:bCs/>
          <w:kern w:val="0"/>
          <w:sz w:val="32"/>
          <w:szCs w:val="32"/>
        </w:rPr>
        <w:t>附：主要依据规范和文件</w:t>
      </w:r>
    </w:p>
    <w:p w14:paraId="09A69D76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1.《中华人民共和国老年人权益保障法》</w:t>
      </w:r>
    </w:p>
    <w:p w14:paraId="57F35C2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2.《养老机构管理办法》（民政部令第66号）</w:t>
      </w:r>
    </w:p>
    <w:p w14:paraId="2E225AE5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3.《江苏省养老服务条例》</w:t>
      </w:r>
    </w:p>
    <w:p w14:paraId="7705D52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Arial" w:hint="eastAsia"/>
          <w:kern w:val="0"/>
          <w:sz w:val="32"/>
          <w:szCs w:val="32"/>
        </w:rPr>
      </w:pPr>
      <w:r>
        <w:rPr>
          <w:rFonts w:ascii="仿宋_GB2312" w:eastAsia="仿宋_GB2312" w:hAnsi="仿宋_GB2312" w:cs="Arial" w:hint="eastAsia"/>
          <w:kern w:val="0"/>
          <w:sz w:val="32"/>
          <w:szCs w:val="32"/>
        </w:rPr>
        <w:t>4</w:t>
      </w:r>
      <w:r>
        <w:rPr>
          <w:rFonts w:ascii="仿宋_GB2312" w:eastAsia="仿宋_GB2312" w:hAnsi="仿宋_GB2312" w:cs="Arial"/>
          <w:kern w:val="0"/>
          <w:sz w:val="32"/>
          <w:szCs w:val="32"/>
        </w:rPr>
        <w:t>.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《江苏省养老机构预收费管理办法》（苏民规〔2024〕1号）</w:t>
      </w:r>
    </w:p>
    <w:p w14:paraId="35CF7B29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73B491B5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7146C755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435A0E60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70E65482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4F45050C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25DF8716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0B4E15C9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4DA67BBD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06E5D296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39CC7E90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75202B62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6E2D3CF8" w14:textId="77777777" w:rsidR="00FA69F3" w:rsidRDefault="00FA69F3">
      <w:pPr>
        <w:rPr>
          <w:rFonts w:ascii="黑体" w:eastAsia="黑体" w:hAnsi="黑体" w:cs="Arial" w:hint="eastAsia"/>
          <w:kern w:val="0"/>
          <w:sz w:val="32"/>
          <w:szCs w:val="32"/>
        </w:rPr>
      </w:pPr>
    </w:p>
    <w:p w14:paraId="5888E55C" w14:textId="77777777" w:rsidR="00FA69F3" w:rsidRDefault="00000000">
      <w:pPr>
        <w:rPr>
          <w:rFonts w:ascii="黑体" w:eastAsia="黑体" w:hAnsi="黑体" w:cs="Arial" w:hint="eastAsia"/>
          <w:kern w:val="0"/>
          <w:sz w:val="32"/>
          <w:szCs w:val="32"/>
        </w:rPr>
      </w:pPr>
      <w:r>
        <w:rPr>
          <w:rFonts w:ascii="黑体" w:eastAsia="黑体" w:hAnsi="黑体" w:cs="Arial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Arial" w:hint="eastAsia"/>
          <w:kern w:val="0"/>
          <w:sz w:val="32"/>
          <w:szCs w:val="32"/>
        </w:rPr>
        <w:t>7</w:t>
      </w:r>
    </w:p>
    <w:p w14:paraId="16D3F096" w14:textId="77777777" w:rsidR="00FA69F3" w:rsidRDefault="00000000">
      <w:pPr>
        <w:adjustRightInd w:val="0"/>
        <w:snapToGrid w:val="0"/>
        <w:spacing w:afterLines="100" w:after="312" w:line="620" w:lineRule="exact"/>
        <w:jc w:val="center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方正小标宋_GBK" w:eastAsia="方正小标宋_GBK" w:hAnsi="Arial" w:cs="Arial" w:hint="eastAsia"/>
          <w:bCs/>
          <w:kern w:val="0"/>
          <w:sz w:val="44"/>
          <w:szCs w:val="20"/>
        </w:rPr>
        <w:t>政策</w:t>
      </w:r>
      <w:r>
        <w:rPr>
          <w:rFonts w:ascii="方正小标宋_GBK" w:eastAsia="方正小标宋_GBK" w:hAnsi="Arial" w:cs="Arial"/>
          <w:bCs/>
          <w:kern w:val="0"/>
          <w:sz w:val="44"/>
          <w:szCs w:val="20"/>
        </w:rPr>
        <w:t>参考</w:t>
      </w:r>
      <w:r>
        <w:rPr>
          <w:rFonts w:ascii="方正小标宋_GBK" w:eastAsia="方正小标宋_GBK" w:hAnsi="Arial" w:cs="Arial" w:hint="eastAsia"/>
          <w:bCs/>
          <w:kern w:val="0"/>
          <w:sz w:val="44"/>
          <w:szCs w:val="20"/>
        </w:rPr>
        <w:t>依据</w:t>
      </w:r>
    </w:p>
    <w:p w14:paraId="5BC16F20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一、国家层面</w:t>
      </w:r>
    </w:p>
    <w:p w14:paraId="26D10727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1.《中华人民共和国老年人权益保障法》</w:t>
      </w:r>
    </w:p>
    <w:p w14:paraId="3C0C258E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2.《养老机构管理办法》（民政部令第66号）</w:t>
      </w:r>
    </w:p>
    <w:p w14:paraId="39098FE1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3.《养老机构服务质量基本规范》（GB/T 35796-2017）</w:t>
      </w:r>
    </w:p>
    <w:p w14:paraId="3EE175AB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4.《养老机构服务安全基本规范》（GB 38600-2019）</w:t>
      </w:r>
    </w:p>
    <w:p w14:paraId="6A6BED2C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5.《老年人能力评估规范》（GB/T 42195-2022）</w:t>
      </w:r>
    </w:p>
    <w:p w14:paraId="497698D6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</w:t>
      </w:r>
      <w:bookmarkStart w:id="2" w:name="OLE_LINK4"/>
      <w:bookmarkStart w:id="3" w:name="OLE_LINK5"/>
      <w:bookmarkStart w:id="4" w:name="OLE_LINK3"/>
      <w:r>
        <w:rPr>
          <w:rFonts w:ascii="仿宋_GB2312" w:eastAsia="仿宋_GB2312" w:hAnsi="仿宋_GB2312" w:cs="仿宋_GB2312" w:hint="eastAsia"/>
          <w:sz w:val="32"/>
          <w:szCs w:val="32"/>
        </w:rPr>
        <w:t>《养老机构消防安全管理规定》</w:t>
      </w:r>
      <w:bookmarkEnd w:id="2"/>
      <w:bookmarkEnd w:id="3"/>
      <w:bookmarkEnd w:id="4"/>
      <w:r>
        <w:rPr>
          <w:rFonts w:ascii="仿宋_GB2312" w:eastAsia="仿宋_GB2312" w:hAnsi="仿宋_GB2312" w:cs="仿宋_GB2312" w:hint="eastAsia"/>
          <w:sz w:val="32"/>
          <w:szCs w:val="32"/>
        </w:rPr>
        <w:t>（民发〔2023〕37号）</w:t>
      </w:r>
    </w:p>
    <w:p w14:paraId="65D21A23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7.《养老机构生活照料服务基本规范》（GB/T 46914-2025）</w:t>
      </w:r>
    </w:p>
    <w:p w14:paraId="4841AD18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8.《安全色和安全标志》（GB 2894-2025）</w:t>
      </w:r>
    </w:p>
    <w:p w14:paraId="1A9A5FA4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9.《无障碍设计规范》（GB 50763-2012）</w:t>
      </w:r>
    </w:p>
    <w:p w14:paraId="2F53DBF7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10.《建筑照明设计标准》（GB/T 50034-2024）</w:t>
      </w:r>
    </w:p>
    <w:p w14:paraId="3F2A4DD9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11.《</w:t>
      </w:r>
      <w:bookmarkStart w:id="5" w:name="OLE_LINK6"/>
      <w:bookmarkStart w:id="6" w:name="OLE_LINK7"/>
      <w:r>
        <w:rPr>
          <w:rFonts w:ascii="仿宋_GB2312" w:eastAsia="仿宋_GB2312" w:hAnsi="仿宋_GB2312" w:cs="仿宋_GB2312" w:hint="eastAsia"/>
          <w:sz w:val="32"/>
          <w:szCs w:val="32"/>
        </w:rPr>
        <w:t>养老机构重大事故隐患判定标准</w:t>
      </w:r>
      <w:bookmarkEnd w:id="5"/>
      <w:bookmarkEnd w:id="6"/>
      <w:r>
        <w:rPr>
          <w:rFonts w:ascii="仿宋_GB2312" w:eastAsia="仿宋_GB2312" w:hAnsi="仿宋_GB2312" w:cs="仿宋_GB2312" w:hint="eastAsia"/>
          <w:sz w:val="32"/>
          <w:szCs w:val="32"/>
        </w:rPr>
        <w:t>》（民办发〔2023〕13号）</w:t>
      </w:r>
    </w:p>
    <w:p w14:paraId="54F963BC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二、行业标准</w:t>
      </w:r>
    </w:p>
    <w:p w14:paraId="7E73FE55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1.《养老机构岗位设置及人员配备规范》（MZ/T 187-2021）</w:t>
      </w:r>
    </w:p>
    <w:p w14:paraId="42F0F751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bookmarkStart w:id="7" w:name="OLE_LINK2"/>
      <w:bookmarkStart w:id="8" w:name="OLE_LINK1"/>
      <w:r>
        <w:rPr>
          <w:rFonts w:ascii="仿宋_GB2312" w:eastAsia="仿宋_GB2312" w:hAnsi="仿宋_GB2312" w:cs="仿宋_GB2312" w:hint="eastAsia"/>
          <w:sz w:val="32"/>
          <w:szCs w:val="32"/>
        </w:rPr>
        <w:t>《养老机构医养结合服务规范》（MZ/T 188-2021）</w:t>
      </w:r>
      <w:bookmarkEnd w:id="7"/>
      <w:bookmarkEnd w:id="8"/>
    </w:p>
    <w:p w14:paraId="314CC2C2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3.《养老机构生活照料服务规范》（MZ/T 171-2021）</w:t>
      </w:r>
    </w:p>
    <w:p w14:paraId="68D84844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4.《养老机构文娱服务安全规范》（MZ/T 235-2024）</w:t>
      </w:r>
    </w:p>
    <w:p w14:paraId="4C5956F5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5.《养老机构老年人健康档案管理规范》（MZ/T 168-2021）</w:t>
      </w:r>
    </w:p>
    <w:p w14:paraId="1A69D151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三、省级层面</w:t>
      </w:r>
    </w:p>
    <w:p w14:paraId="688FE1DF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1.《江苏省养老服务条例》（2024年修订）</w:t>
      </w:r>
    </w:p>
    <w:p w14:paraId="72D912DB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2.《江苏省养老机构预收费管理办法（试行）》（苏民规〔2024〕1号）</w:t>
      </w:r>
    </w:p>
    <w:p w14:paraId="0CB55C83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3.《江苏省养老机构服务质量规范》（DB32/T 4025-2021）</w:t>
      </w:r>
    </w:p>
    <w:p w14:paraId="24AAD84C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4.《江苏省医养结合服务质量规范》（DB32/T 4777-2024）</w:t>
      </w:r>
    </w:p>
    <w:p w14:paraId="493892C2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>
        <w:rPr>
          <w:rFonts w:ascii="仿宋_GB2312" w:eastAsia="仿宋_GB2312" w:hAnsi="仿宋_GB2312" w:cs="Arial" w:hint="eastAsia"/>
          <w:kern w:val="0"/>
          <w:sz w:val="32"/>
          <w:szCs w:val="32"/>
        </w:rPr>
        <w:t>《关于进一步规范养老机构备案管理的通知》（苏民养老〔2025〕21号）</w:t>
      </w:r>
    </w:p>
    <w:p w14:paraId="1A62EA54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四、市级层面</w:t>
      </w:r>
    </w:p>
    <w:p w14:paraId="5FC467CA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1.《苏州市居家养老服务条例》</w:t>
      </w:r>
    </w:p>
    <w:p w14:paraId="0CCE90F8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2.《苏州市养老机构预收费资金管理规则》（苏政民规〔2025〕1号）</w:t>
      </w:r>
    </w:p>
    <w:p w14:paraId="6B9C32BD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3.《苏州市养老机构建设运营补贴实施细则》（苏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政民老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〔2024〕4号）</w:t>
      </w:r>
    </w:p>
    <w:p w14:paraId="625362C9" w14:textId="77777777" w:rsidR="00FA69F3" w:rsidRDefault="00000000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Arial" w:hint="eastAsia"/>
          <w:bCs/>
          <w:kern w:val="0"/>
          <w:sz w:val="32"/>
          <w:szCs w:val="32"/>
        </w:rPr>
      </w:pPr>
      <w:r>
        <w:rPr>
          <w:rFonts w:ascii="黑体" w:eastAsia="黑体" w:hAnsi="黑体" w:cs="Arial" w:hint="eastAsia"/>
          <w:bCs/>
          <w:kern w:val="0"/>
          <w:sz w:val="32"/>
          <w:szCs w:val="32"/>
        </w:rPr>
        <w:t>五、区级层面</w:t>
      </w:r>
    </w:p>
    <w:p w14:paraId="3401A90A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1.《吴江区养老服务组织(机构)建设运营补贴实施方案》（吴民〔2025〕65号）</w:t>
      </w:r>
    </w:p>
    <w:p w14:paraId="3EBEAD50" w14:textId="77777777" w:rsidR="00FA69F3" w:rsidRDefault="00000000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本方案未尽事宜，遵照国家、省、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市最新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养老服务相关法律法规及标准规范执行。</w:t>
      </w:r>
    </w:p>
    <w:p w14:paraId="340BB73F" w14:textId="77777777" w:rsidR="00FA69F3" w:rsidRDefault="00FA69F3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4081B5EB" w14:textId="77777777" w:rsidR="00FA69F3" w:rsidRDefault="00FA69F3">
      <w:pPr>
        <w:spacing w:line="579" w:lineRule="exact"/>
        <w:ind w:firstLine="627"/>
        <w:rPr>
          <w:rFonts w:ascii="仿宋_GB2312" w:eastAsia="仿宋_GB2312" w:hAnsi="仿宋_GB2312" w:cs="仿宋_GB2312" w:hint="eastAsia"/>
          <w:sz w:val="32"/>
          <w:szCs w:val="32"/>
          <w:lang w:val="zh-CN"/>
        </w:rPr>
      </w:pPr>
    </w:p>
    <w:sectPr w:rsidR="00FA69F3">
      <w:footerReference w:type="default" r:id="rId9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50CDD" w14:textId="77777777" w:rsidR="00BA1496" w:rsidRDefault="00BA1496">
      <w:r>
        <w:separator/>
      </w:r>
    </w:p>
  </w:endnote>
  <w:endnote w:type="continuationSeparator" w:id="0">
    <w:p w14:paraId="67907333" w14:textId="77777777" w:rsidR="00BA1496" w:rsidRDefault="00BA1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95D5" w14:textId="77777777" w:rsidR="00FA69F3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F0144C" wp14:editId="7E479CB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543B74" w14:textId="77777777" w:rsidR="00FA69F3" w:rsidRDefault="00000000">
                          <w:pPr>
                            <w:pStyle w:val="a5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0144C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C543B74" w14:textId="77777777" w:rsidR="00FA69F3" w:rsidRDefault="00000000">
                    <w:pPr>
                      <w:pStyle w:val="a5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297A8" w14:textId="77777777" w:rsidR="00BA1496" w:rsidRDefault="00BA1496">
      <w:r>
        <w:separator/>
      </w:r>
    </w:p>
  </w:footnote>
  <w:footnote w:type="continuationSeparator" w:id="0">
    <w:p w14:paraId="1C359C84" w14:textId="77777777" w:rsidR="00BA1496" w:rsidRDefault="00BA14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A34"/>
    <w:rsid w:val="00001091"/>
    <w:rsid w:val="000D1D53"/>
    <w:rsid w:val="00177426"/>
    <w:rsid w:val="00184927"/>
    <w:rsid w:val="001B3D94"/>
    <w:rsid w:val="00201D07"/>
    <w:rsid w:val="0023272E"/>
    <w:rsid w:val="00240F7D"/>
    <w:rsid w:val="00260015"/>
    <w:rsid w:val="00266244"/>
    <w:rsid w:val="003369E1"/>
    <w:rsid w:val="003F3F65"/>
    <w:rsid w:val="005D73BE"/>
    <w:rsid w:val="00685EAC"/>
    <w:rsid w:val="00707FE1"/>
    <w:rsid w:val="007A7209"/>
    <w:rsid w:val="00904967"/>
    <w:rsid w:val="00A053E2"/>
    <w:rsid w:val="00A927B9"/>
    <w:rsid w:val="00B20DF2"/>
    <w:rsid w:val="00B532C2"/>
    <w:rsid w:val="00B82DA0"/>
    <w:rsid w:val="00B96200"/>
    <w:rsid w:val="00BA1496"/>
    <w:rsid w:val="00C403DC"/>
    <w:rsid w:val="00DC78A8"/>
    <w:rsid w:val="00E43A34"/>
    <w:rsid w:val="00E817D5"/>
    <w:rsid w:val="00EB2367"/>
    <w:rsid w:val="00F56F4F"/>
    <w:rsid w:val="00FA69F3"/>
    <w:rsid w:val="00FD34E9"/>
    <w:rsid w:val="0D6DC896"/>
    <w:rsid w:val="21B35325"/>
    <w:rsid w:val="21E5472C"/>
    <w:rsid w:val="34004ED2"/>
    <w:rsid w:val="44A318B8"/>
    <w:rsid w:val="491A4E19"/>
    <w:rsid w:val="4BE90D9B"/>
    <w:rsid w:val="5B6BF983"/>
    <w:rsid w:val="5BD7930F"/>
    <w:rsid w:val="5F99041A"/>
    <w:rsid w:val="5FDF5BC4"/>
    <w:rsid w:val="6D9F7933"/>
    <w:rsid w:val="74836200"/>
    <w:rsid w:val="790548E1"/>
    <w:rsid w:val="7CB998C8"/>
    <w:rsid w:val="7DFB550A"/>
    <w:rsid w:val="7FFE363E"/>
    <w:rsid w:val="BBE7CFC3"/>
    <w:rsid w:val="BFBEE50D"/>
    <w:rsid w:val="D3FF1FDA"/>
    <w:rsid w:val="EF9B7768"/>
    <w:rsid w:val="F99F7940"/>
    <w:rsid w:val="F9FFF796"/>
    <w:rsid w:val="FFFBF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1D89FC"/>
  <w15:docId w15:val="{2739CAE5-DAEA-40C3-B249-148F045C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annotation reference"/>
    <w:basedOn w:val="a0"/>
    <w:qFormat/>
    <w:rPr>
      <w:sz w:val="21"/>
      <w:szCs w:val="21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f0768aa0-c1c6-4df0-9f05-3684f05547d2</errorID>
      <errorWord xmlns="http://schemas.wps.cn/vas-ai-hub/contract-review">高质量发展和安全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高质量发展和高水平安全</item>
      </candidateList>
      <explain xmlns="http://schemas.wps.cn/vas-ai-hub/contract-review">词汇“高质量发展和高水平安全”在特定场景下为固定表述形式，请确认此处的“高质量发展和安全”是否存在不当。</explain>
      <paraID xmlns="http://schemas.wps.cn/vas-ai-hub/contract-review">76127297</paraID>
      <start xmlns="http://schemas.wps.cn/vas-ai-hub/contract-review">17</start>
      <end xmlns="http://schemas.wps.cn/vas-ai-hub/contract-review">25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80e058f7-8812-424e-8685-4cd56438e1ae</errorID>
      <errorWord xmlns="http://schemas.wps.cn/vas-ai-hub/contract-review">老年人权益保障法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中华人民共和国老年人权益保障法</item>
      </candidateList>
      <explain xmlns="http://schemas.wps.cn/vas-ai-hub/contract-review">当前法律法规名称使用简称，请注意是否应当使用全称。</explain>
      <paraID xmlns="http://schemas.wps.cn/vas-ai-hub/contract-review">76127297</paraID>
      <start xmlns="http://schemas.wps.cn/vas-ai-hub/contract-review">37</start>
      <end xmlns="http://schemas.wps.cn/vas-ai-hub/contract-review">45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23828307-6cca-45c9-b7b2-d4600b7437e7</errorID>
      <errorWord xmlns="http://schemas.wps.cn/vas-ai-hub/contract-review">，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，对</item>
      </candidateList>
      <explain xmlns="http://schemas.wps.cn/vas-ai-hub/contract-review"/>
      <paraID xmlns="http://schemas.wps.cn/vas-ai-hub/contract-review">35FCA663</paraID>
      <start xmlns="http://schemas.wps.cn/vas-ai-hub/contract-review">58</start>
      <end xmlns="http://schemas.wps.cn/vas-ai-hub/contract-review">59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0d58d823-66ff-4614-8f9d-547d10ab45b8</errorID>
      <errorWord xmlns="http://schemas.wps.cn/vas-ai-hub/contract-review">慢病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慢性病</item>
      </candidateList>
      <explain xmlns="http://schemas.wps.cn/vas-ai-hub/contract-review"/>
      <paraID xmlns="http://schemas.wps.cn/vas-ai-hub/contract-review">5C081B27</paraID>
      <start xmlns="http://schemas.wps.cn/vas-ai-hub/contract-review">35</start>
      <end xmlns="http://schemas.wps.cn/vas-ai-hub/contract-review">37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11dd74db-2a0a-46b4-990d-79754917c59f</errorID>
      <errorWord xmlns="http://schemas.wps.cn/vas-ai-hub/contract-review">日书面通知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日内书面通知</item>
      </candidateList>
      <explain xmlns="http://schemas.wps.cn/vas-ai-hub/contract-review"/>
      <paraID xmlns="http://schemas.wps.cn/vas-ai-hub/contract-review">7899CF61</paraID>
      <start xmlns="http://schemas.wps.cn/vas-ai-hub/contract-review">36</start>
      <end xmlns="http://schemas.wps.cn/vas-ai-hub/contract-review">41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22c52bb0-7764-42c6-9dbf-b0b461e222a9</errorID>
      <errorWord xmlns="http://schemas.wps.cn/vas-ai-hub/contract-review">一岗双责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‘一岗双责’</item>
      </candidateList>
      <explain xmlns="http://schemas.wps.cn/vas-ai-hub/contract-review">注意检查当前固定表述标点是否使用规范。</explain>
      <paraID xmlns="http://schemas.wps.cn/vas-ai-hub/contract-review">31E4BD69</paraID>
      <start xmlns="http://schemas.wps.cn/vas-ai-hub/contract-review">5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3bece837-30a6-4449-b310-b0d252b87a20</errorID>
      <errorWord xmlns="http://schemas.wps.cn/vas-ai-hub/contract-review">；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；将</item>
      </candidateList>
      <explain xmlns="http://schemas.wps.cn/vas-ai-hub/contract-review"/>
      <paraID xmlns="http://schemas.wps.cn/vas-ai-hub/contract-review">68290882</paraID>
      <start xmlns="http://schemas.wps.cn/vas-ai-hub/contract-review">52</start>
      <end xmlns="http://schemas.wps.cn/vas-ai-hub/contract-review">53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47fd7878-b2f6-4768-8a77-a74505349868</errorID>
      <errorWord xmlns="http://schemas.wps.cn/vas-ai-hub/contract-review">对发现问题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对发现的问题</item>
      </candidateList>
      <explain xmlns="http://schemas.wps.cn/vas-ai-hub/contract-review"/>
      <paraID xmlns="http://schemas.wps.cn/vas-ai-hub/contract-review">6B5A6557</paraID>
      <start xmlns="http://schemas.wps.cn/vas-ai-hub/contract-review">25</start>
      <end xmlns="http://schemas.wps.cn/vas-ai-hub/contract-review">31</end>
      <status xmlns="http://schemas.wps.cn/vas-ai-hub/contract-review">modified</status>
      <modifiedWord xmlns="http://schemas.wps.cn/vas-ai-hub/contract-review">对发现的问题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7673df62-822d-40c5-a89a-c6247da5093a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1B83F12B</paraID>
      <start xmlns="http://schemas.wps.cn/vas-ai-hub/contract-review">12</start>
      <end xmlns="http://schemas.wps.cn/vas-ai-hub/contract-review">13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bf5034f8-e3cc-417c-a10e-ed7f5c529067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1B83F12B</paraID>
      <start xmlns="http://schemas.wps.cn/vas-ai-hub/contract-review">15</start>
      <end xmlns="http://schemas.wps.cn/vas-ai-hub/contract-review">16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3.xml><?xml version="1.0" encoding="utf-8"?>
<b:Sources xmlns:b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E8B4B4-AE79-4F55-A28E-D95729F52279}">
  <ds:schemaRefs>
    <ds:schemaRef ds:uri="http://schemas.wps.cn/vas-ai-hub/contract-review"/>
  </ds:schemaRefs>
</ds:datastoreItem>
</file>

<file path=customXml/itemProps3.xml><?xml version="1.0" encoding="utf-8"?>
<ds:datastoreItem xmlns:ds="http://schemas.openxmlformats.org/officeDocument/2006/customXml" ds:itemID="{D25110DF-B872-4899-9A0A-427666C6D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2271</Words>
  <Characters>12950</Characters>
  <Application>Microsoft Office Word</Application>
  <DocSecurity>0</DocSecurity>
  <Lines>107</Lines>
  <Paragraphs>30</Paragraphs>
  <ScaleCrop>false</ScaleCrop>
  <Company/>
  <LinksUpToDate>false</LinksUpToDate>
  <CharactersWithSpaces>15191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files</dc:creator>
  <cp:lastModifiedBy>H158316@365mso.com</cp:lastModifiedBy>
  <cp:revision>2</cp:revision>
  <cp:lastPrinted>2026-04-24T09:19:00Z</cp:lastPrinted>
  <dcterms:created xsi:type="dcterms:W3CDTF">2026-07-20T06:45:00Z</dcterms:created>
  <dcterms:modified xsi:type="dcterms:W3CDTF">2026-07-20T06:45:00Z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548DCC9FE5AB4732B520959BA768F421_13</vt:lpwstr>
  </property>
  <property fmtid="{D5CDD505-2E9C-101B-9397-08002B2CF9AE}" pid="4" name="KSOTemplateDocerSaveRecord">
    <vt:lpwstr>eyJoZGlkIjoiOWQ4MGM0MzczMzk2MDU1OGFlMjViZmMwYTA2ZTI5NDMiLCJ1c2VySWQiOiIzMjM5ODA1NTMifQ==</vt:lpwstr>
  </property>
</Properties>
</file>