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905DD8">
      <w:pPr>
        <w:spacing w:line="640" w:lineRule="exact"/>
        <w:jc w:val="center"/>
        <w:rPr>
          <w:rFonts w:ascii="方正小标宋_GBK" w:hAnsi="方正小标宋_GBK" w:eastAsia="方正小标宋_GBK" w:cs="方正小标宋_GBK"/>
          <w:bCs/>
          <w:sz w:val="44"/>
          <w:szCs w:val="44"/>
        </w:rPr>
      </w:pPr>
      <w:r>
        <w:rPr>
          <w:rFonts w:hint="eastAsia" w:ascii="方正小标宋简体" w:hAnsi="宋体" w:eastAsia="方正小标宋简体"/>
          <w:color w:val="000000"/>
          <w:sz w:val="44"/>
          <w:szCs w:val="44"/>
        </w:rPr>
        <w:t>关于《苏州市吴江区政府法律顾问工作管理办法（征求意见稿）》公开征求意见的公告</w:t>
      </w:r>
    </w:p>
    <w:p w14:paraId="087CEEEB">
      <w:pPr>
        <w:shd w:val="clear"/>
        <w:adjustRightInd w:val="0"/>
        <w:snapToGrid w:val="0"/>
        <w:spacing w:line="579" w:lineRule="exact"/>
        <w:jc w:val="center"/>
        <w:rPr>
          <w:rFonts w:ascii="方正小标宋_GBK" w:eastAsia="方正小标宋_GBK"/>
          <w:sz w:val="44"/>
          <w:szCs w:val="44"/>
        </w:rPr>
      </w:pPr>
    </w:p>
    <w:p w14:paraId="3D610F95">
      <w:pPr>
        <w:spacing w:line="579" w:lineRule="exact"/>
        <w:ind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为</w:t>
      </w:r>
      <w:r>
        <w:rPr>
          <w:rFonts w:hint="eastAsia" w:ascii="仿宋_GB2312" w:eastAsia="仿宋_GB2312"/>
          <w:sz w:val="32"/>
          <w:szCs w:val="32"/>
        </w:rPr>
        <w:t>进一步加强和规范我区政府法律顾问工作，深入推进依法行政，根据国家、省、市有关规定，结合我区实际，</w:t>
      </w:r>
      <w:r>
        <w:rPr>
          <w:rFonts w:hint="eastAsia" w:ascii="仿宋_GB2312" w:eastAsia="仿宋_GB2312"/>
          <w:sz w:val="32"/>
          <w:szCs w:val="32"/>
          <w:lang w:val="en-US" w:eastAsia="zh-CN"/>
        </w:rPr>
        <w:t>区司法</w:t>
      </w:r>
      <w:r>
        <w:rPr>
          <w:rFonts w:hint="eastAsia" w:ascii="仿宋_GB2312" w:eastAsia="仿宋_GB2312"/>
          <w:sz w:val="32"/>
          <w:szCs w:val="32"/>
        </w:rPr>
        <w:t>局起草了《</w:t>
      </w:r>
      <w:r>
        <w:rPr>
          <w:rFonts w:hint="eastAsia" w:ascii="仿宋_GB2312" w:eastAsia="仿宋_GB2312"/>
          <w:sz w:val="32"/>
          <w:szCs w:val="32"/>
          <w:lang w:eastAsia="zh-CN"/>
        </w:rPr>
        <w:t>苏州市吴江区政府法律顾问工作管理办法（征求意见稿）</w:t>
      </w:r>
      <w:r>
        <w:rPr>
          <w:rFonts w:hint="eastAsia" w:ascii="仿宋_GB2312" w:eastAsia="仿宋_GB2312"/>
          <w:sz w:val="32"/>
          <w:szCs w:val="32"/>
        </w:rPr>
        <w:t>》</w:t>
      </w:r>
      <w:r>
        <w:rPr>
          <w:rFonts w:hint="eastAsia" w:ascii="仿宋_GB2312" w:eastAsia="仿宋_GB2312"/>
          <w:sz w:val="32"/>
          <w:szCs w:val="32"/>
          <w:lang w:eastAsia="zh-CN"/>
        </w:rPr>
        <w:t>，现面向社会公开征求意见，对征求意见稿内容有意见或建议的请于2026年</w:t>
      </w:r>
      <w:r>
        <w:rPr>
          <w:rFonts w:hint="eastAsia" w:ascii="仿宋_GB2312" w:eastAsia="仿宋_GB2312"/>
          <w:sz w:val="32"/>
          <w:szCs w:val="32"/>
          <w:lang w:val="en-US" w:eastAsia="zh-CN"/>
        </w:rPr>
        <w:t>7</w:t>
      </w:r>
      <w:r>
        <w:rPr>
          <w:rFonts w:hint="eastAsia" w:ascii="仿宋_GB2312" w:eastAsia="仿宋_GB2312"/>
          <w:sz w:val="32"/>
          <w:szCs w:val="32"/>
          <w:lang w:eastAsia="zh-CN"/>
        </w:rPr>
        <w:t>月</w:t>
      </w:r>
      <w:r>
        <w:rPr>
          <w:rFonts w:hint="eastAsia" w:ascii="仿宋_GB2312" w:eastAsia="仿宋_GB2312"/>
          <w:sz w:val="32"/>
          <w:szCs w:val="32"/>
          <w:lang w:val="en-US" w:eastAsia="zh-CN"/>
        </w:rPr>
        <w:t>9</w:t>
      </w:r>
      <w:r>
        <w:rPr>
          <w:rFonts w:hint="eastAsia" w:ascii="仿宋_GB2312" w:eastAsia="仿宋_GB2312"/>
          <w:sz w:val="32"/>
          <w:szCs w:val="32"/>
          <w:lang w:eastAsia="zh-CN"/>
        </w:rPr>
        <w:t>日前通过以下途径和方式进行反馈:</w:t>
      </w:r>
    </w:p>
    <w:p w14:paraId="3530BB22">
      <w:pPr>
        <w:numPr>
          <w:ilvl w:val="0"/>
          <w:numId w:val="1"/>
        </w:numPr>
        <w:spacing w:line="579"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信函:</w:t>
      </w:r>
      <w:r>
        <w:rPr>
          <w:rFonts w:hint="eastAsia" w:ascii="仿宋_GB2312" w:hAnsi="仿宋_GB2312" w:eastAsia="仿宋_GB2312" w:cs="仿宋_GB2312"/>
          <w:sz w:val="32"/>
          <w:szCs w:val="32"/>
          <w:lang w:val="en-US" w:eastAsia="zh-CN"/>
        </w:rPr>
        <w:t>收件地址：中山南路1788号开平大楼B栋713，</w:t>
      </w:r>
      <w:r>
        <w:rPr>
          <w:rFonts w:hint="eastAsia" w:ascii="仿宋_GB2312" w:hAnsi="仿宋_GB2312" w:eastAsia="仿宋_GB2312" w:cs="仿宋_GB2312"/>
          <w:sz w:val="32"/>
          <w:szCs w:val="32"/>
        </w:rPr>
        <w:t>邮编:215200;</w:t>
      </w:r>
    </w:p>
    <w:p w14:paraId="698DA4D3">
      <w:pPr>
        <w:spacing w:line="579"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二、电子邮件:szwjbasc@163.com；</w:t>
      </w:r>
    </w:p>
    <w:p w14:paraId="415B8FB6">
      <w:pPr>
        <w:spacing w:line="579"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三、联系电话(工作日9:00-17:00):0512-</w:t>
      </w:r>
      <w:r>
        <w:rPr>
          <w:rFonts w:hint="eastAsia" w:ascii="仿宋_GB2312" w:eastAsia="仿宋_GB2312"/>
          <w:sz w:val="32"/>
          <w:szCs w:val="32"/>
        </w:rPr>
        <w:t>63920821</w:t>
      </w:r>
      <w:r>
        <w:rPr>
          <w:rFonts w:hint="eastAsia" w:ascii="仿宋_GB2312" w:hAnsi="仿宋_GB2312" w:eastAsia="仿宋_GB2312" w:cs="仿宋_GB2312"/>
          <w:sz w:val="32"/>
          <w:szCs w:val="32"/>
        </w:rPr>
        <w:t>。</w:t>
      </w:r>
    </w:p>
    <w:p w14:paraId="124E7AFC">
      <w:pPr>
        <w:spacing w:line="579" w:lineRule="exact"/>
        <w:rPr>
          <w:rFonts w:ascii="仿宋_GB2312" w:eastAsia="仿宋_GB2312"/>
          <w:sz w:val="32"/>
          <w:szCs w:val="32"/>
        </w:rPr>
      </w:pPr>
      <w:bookmarkStart w:id="0" w:name="_Hlk534640243"/>
    </w:p>
    <w:p w14:paraId="160DF945">
      <w:pPr>
        <w:keepNext w:val="0"/>
        <w:keepLines w:val="0"/>
        <w:pageBreakBefore w:val="0"/>
        <w:widowControl w:val="0"/>
        <w:kinsoku/>
        <w:wordWrap/>
        <w:overflowPunct w:val="0"/>
        <w:topLinePunct/>
        <w:autoSpaceDE/>
        <w:autoSpaceDN/>
        <w:bidi w:val="0"/>
        <w:adjustRightInd w:val="0"/>
        <w:snapToGrid w:val="0"/>
        <w:spacing w:line="579" w:lineRule="exact"/>
        <w:ind w:left="1918" w:leftChars="304" w:hanging="1280" w:hangingChars="400"/>
        <w:textAlignment w:val="auto"/>
        <w:rPr>
          <w:rFonts w:hint="eastAsia" w:ascii="仿宋_GB2312" w:eastAsia="仿宋_GB2312"/>
          <w:sz w:val="32"/>
          <w:szCs w:val="32"/>
        </w:rPr>
      </w:pPr>
      <w:r>
        <w:rPr>
          <w:rFonts w:hint="eastAsia" w:ascii="仿宋_GB2312" w:eastAsia="仿宋_GB2312"/>
          <w:sz w:val="32"/>
          <w:szCs w:val="32"/>
        </w:rPr>
        <w:t>附件:</w:t>
      </w:r>
      <w:bookmarkEnd w:id="0"/>
      <w:r>
        <w:rPr>
          <w:rFonts w:hint="eastAsia" w:ascii="仿宋_GB2312" w:eastAsia="仿宋_GB2312"/>
          <w:sz w:val="32"/>
          <w:szCs w:val="32"/>
        </w:rPr>
        <w:t>《</w:t>
      </w:r>
      <w:r>
        <w:rPr>
          <w:rFonts w:hint="eastAsia" w:ascii="仿宋_GB2312" w:eastAsia="仿宋_GB2312"/>
          <w:sz w:val="32"/>
          <w:szCs w:val="32"/>
          <w:lang w:eastAsia="zh-CN"/>
        </w:rPr>
        <w:t>苏州市吴江区政府法律顾问工作管理办法（征求意见稿）</w:t>
      </w:r>
      <w:r>
        <w:rPr>
          <w:rFonts w:hint="eastAsia" w:ascii="仿宋_GB2312" w:eastAsia="仿宋_GB2312"/>
          <w:sz w:val="32"/>
          <w:szCs w:val="32"/>
        </w:rPr>
        <w:t>》</w:t>
      </w:r>
    </w:p>
    <w:p w14:paraId="794EBD1A">
      <w:pPr>
        <w:spacing w:line="579" w:lineRule="exact"/>
        <w:rPr>
          <w:rFonts w:ascii="仿宋_GB2312" w:eastAsia="仿宋_GB2312"/>
          <w:sz w:val="32"/>
          <w:szCs w:val="32"/>
        </w:rPr>
      </w:pPr>
    </w:p>
    <w:p w14:paraId="26AB124C">
      <w:pPr>
        <w:spacing w:line="579" w:lineRule="exact"/>
        <w:ind w:firstLine="4732" w:firstLineChars="1392"/>
        <w:jc w:val="left"/>
        <w:rPr>
          <w:rFonts w:ascii="仿宋_GB2312" w:eastAsia="仿宋_GB2312"/>
          <w:spacing w:val="10"/>
          <w:sz w:val="32"/>
          <w:szCs w:val="32"/>
        </w:rPr>
      </w:pPr>
      <w:r>
        <w:rPr>
          <w:rFonts w:hint="eastAsia" w:ascii="仿宋_GB2312" w:eastAsia="仿宋_GB2312"/>
          <w:spacing w:val="10"/>
          <w:sz w:val="32"/>
          <w:szCs w:val="32"/>
        </w:rPr>
        <w:t>苏州市吴江区司法局</w:t>
      </w:r>
    </w:p>
    <w:p w14:paraId="16449653">
      <w:pPr>
        <w:tabs>
          <w:tab w:val="left" w:pos="5335"/>
        </w:tabs>
        <w:spacing w:line="579" w:lineRule="exact"/>
        <w:ind w:firstLine="640" w:firstLineChars="200"/>
        <w:jc w:val="center"/>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eastAsia="仿宋_GB2312"/>
          <w:sz w:val="32"/>
          <w:szCs w:val="32"/>
          <w:lang w:val="en-US" w:eastAsia="zh-CN"/>
        </w:rPr>
        <w:t>2</w:t>
      </w:r>
      <w:r>
        <w:rPr>
          <w:rFonts w:hint="eastAsia" w:ascii="仿宋_GB2312" w:eastAsia="仿宋_GB2312"/>
          <w:sz w:val="32"/>
          <w:szCs w:val="32"/>
        </w:rPr>
        <w:t>日</w:t>
      </w:r>
    </w:p>
    <w:p w14:paraId="60CDCA5E">
      <w:pPr>
        <w:rPr>
          <w:rFonts w:hint="eastAsia" w:ascii="仿宋_GB2312" w:eastAsia="仿宋_GB2312"/>
          <w:sz w:val="32"/>
          <w:szCs w:val="32"/>
        </w:rPr>
      </w:pPr>
      <w:r>
        <w:rPr>
          <w:rFonts w:hint="eastAsia" w:ascii="仿宋_GB2312" w:eastAsia="仿宋_GB2312"/>
          <w:sz w:val="32"/>
          <w:szCs w:val="32"/>
        </w:rPr>
        <w:br w:type="page"/>
      </w:r>
    </w:p>
    <w:p w14:paraId="62EABE7F">
      <w:pPr>
        <w:widowControl/>
        <w:spacing w:line="579" w:lineRule="exact"/>
        <w:jc w:val="left"/>
        <w:rPr>
          <w:rFonts w:hint="eastAsia" w:ascii="仿宋_GB2312" w:hAnsi="黑体" w:eastAsia="仿宋_GB2312" w:cs="黑体"/>
          <w:sz w:val="32"/>
          <w:szCs w:val="32"/>
          <w:lang w:eastAsia="zh-CN"/>
        </w:rPr>
      </w:pPr>
      <w:r>
        <w:rPr>
          <w:rFonts w:hint="eastAsia" w:ascii="仿宋_GB2312" w:hAnsi="黑体" w:eastAsia="仿宋_GB2312" w:cs="黑体"/>
          <w:sz w:val="32"/>
          <w:szCs w:val="32"/>
        </w:rPr>
        <w:t>附件</w:t>
      </w:r>
    </w:p>
    <w:p w14:paraId="7039BB2B">
      <w:pPr>
        <w:pStyle w:val="15"/>
        <w:spacing w:before="0" w:beforeAutospacing="0" w:after="0" w:afterAutospacing="0" w:line="620" w:lineRule="atLeast"/>
        <w:jc w:val="center"/>
        <w:rPr>
          <w:rFonts w:ascii="等线" w:eastAsia="等线"/>
          <w:sz w:val="21"/>
          <w:szCs w:val="21"/>
        </w:rPr>
      </w:pPr>
      <w:bookmarkStart w:id="16" w:name="_GoBack"/>
      <w:r>
        <w:rPr>
          <w:rFonts w:hint="eastAsia" w:ascii="方正小标宋_GBK" w:hAnsi="Times New Roman" w:eastAsia="方正小标宋_GBK" w:cs="Times New Roman"/>
          <w:sz w:val="44"/>
          <w:szCs w:val="44"/>
        </w:rPr>
        <w:t>苏州市吴江区</w:t>
      </w:r>
      <w:r>
        <w:rPr>
          <w:rFonts w:ascii="方正小标宋_GBK" w:hAnsi="Times New Roman" w:eastAsia="方正小标宋_GBK" w:cs="Times New Roman"/>
          <w:sz w:val="44"/>
          <w:szCs w:val="44"/>
        </w:rPr>
        <w:t>政府法律顾问工作管理办法</w:t>
      </w:r>
      <w:bookmarkEnd w:id="16"/>
      <w:r>
        <w:rPr>
          <w:rFonts w:hint="eastAsia" w:ascii="方正小标宋_GBK" w:hAnsi="Times New Roman" w:eastAsia="方正小标宋_GBK" w:cs="Times New Roman"/>
          <w:sz w:val="44"/>
          <w:szCs w:val="44"/>
        </w:rPr>
        <w:br w:type="textWrapping"/>
      </w:r>
      <w:r>
        <w:rPr>
          <w:rFonts w:hint="eastAsia" w:ascii="楷体_GB2312" w:hAnsi="Times New Roman" w:eastAsia="楷体_GB2312" w:cs="Times New Roman"/>
          <w:sz w:val="32"/>
          <w:szCs w:val="32"/>
        </w:rPr>
        <w:t>（</w:t>
      </w:r>
      <w:r>
        <w:rPr>
          <w:rFonts w:hint="eastAsia" w:ascii="楷体_GB2312" w:hAnsi="Times New Roman" w:eastAsia="楷体_GB2312" w:cs="Times New Roman"/>
          <w:sz w:val="32"/>
          <w:szCs w:val="32"/>
          <w:lang w:val="en-US" w:eastAsia="zh-CN"/>
        </w:rPr>
        <w:t>征求意见</w:t>
      </w:r>
      <w:r>
        <w:rPr>
          <w:rFonts w:hint="eastAsia" w:ascii="楷体_GB2312" w:hAnsi="Times New Roman" w:eastAsia="楷体_GB2312" w:cs="Times New Roman"/>
          <w:sz w:val="32"/>
          <w:szCs w:val="32"/>
        </w:rPr>
        <w:t>稿）</w:t>
      </w:r>
    </w:p>
    <w:p w14:paraId="4B7A7D13">
      <w:pPr>
        <w:pStyle w:val="15"/>
        <w:spacing w:before="0" w:beforeAutospacing="0" w:after="0" w:afterAutospacing="0" w:line="620" w:lineRule="atLeast"/>
        <w:ind w:left="420"/>
        <w:jc w:val="center"/>
        <w:rPr>
          <w:rFonts w:ascii="等线" w:eastAsia="等线"/>
          <w:sz w:val="21"/>
          <w:szCs w:val="21"/>
        </w:rPr>
      </w:pPr>
      <w:r>
        <w:rPr>
          <w:rFonts w:hint="eastAsia" w:ascii="等线" w:eastAsia="等线"/>
          <w:sz w:val="21"/>
          <w:szCs w:val="21"/>
        </w:rPr>
        <w:t> </w:t>
      </w:r>
    </w:p>
    <w:p w14:paraId="1959E64B">
      <w:pPr>
        <w:pStyle w:val="15"/>
        <w:spacing w:before="0" w:beforeAutospacing="0" w:after="0" w:afterAutospacing="0" w:line="620" w:lineRule="atLeast"/>
        <w:jc w:val="center"/>
        <w:rPr>
          <w:rFonts w:ascii="等线" w:eastAsia="等线"/>
          <w:sz w:val="21"/>
          <w:szCs w:val="21"/>
        </w:rPr>
      </w:pPr>
      <w:r>
        <w:rPr>
          <w:rFonts w:hint="eastAsia" w:ascii="黑体" w:hAnsi="黑体" w:eastAsia="黑体"/>
          <w:sz w:val="32"/>
          <w:szCs w:val="32"/>
        </w:rPr>
        <w:t>第一章  </w:t>
      </w:r>
      <w:r>
        <w:rPr>
          <w:rFonts w:ascii="黑体" w:hAnsi="黑体" w:eastAsia="黑体" w:cs="Times New Roman"/>
          <w:sz w:val="32"/>
          <w:szCs w:val="32"/>
        </w:rPr>
        <w:t>总</w:t>
      </w:r>
      <w:r>
        <w:rPr>
          <w:rFonts w:ascii="Times New Roman" w:hAnsi="Times New Roman" w:eastAsia="等线" w:cs="Times New Roman"/>
          <w:sz w:val="32"/>
          <w:szCs w:val="32"/>
        </w:rPr>
        <w:t>  </w:t>
      </w:r>
      <w:r>
        <w:rPr>
          <w:rFonts w:ascii="黑体" w:hAnsi="黑体" w:eastAsia="黑体" w:cs="Times New Roman"/>
          <w:sz w:val="32"/>
          <w:szCs w:val="32"/>
        </w:rPr>
        <w:t>则</w:t>
      </w:r>
    </w:p>
    <w:p w14:paraId="1B756B19">
      <w:pPr>
        <w:pStyle w:val="15"/>
        <w:spacing w:before="0" w:beforeAutospacing="0" w:after="0" w:afterAutospacing="0" w:line="620" w:lineRule="atLeast"/>
        <w:jc w:val="both"/>
        <w:rPr>
          <w:rFonts w:ascii="等线" w:eastAsia="等线"/>
          <w:sz w:val="21"/>
          <w:szCs w:val="21"/>
        </w:rPr>
      </w:pPr>
      <w:r>
        <w:rPr>
          <w:rFonts w:hint="eastAsia" w:ascii="等线" w:eastAsia="等线"/>
          <w:sz w:val="21"/>
          <w:szCs w:val="21"/>
        </w:rPr>
        <w:t> </w:t>
      </w:r>
    </w:p>
    <w:p w14:paraId="043B34EC">
      <w:pPr>
        <w:pStyle w:val="15"/>
        <w:spacing w:before="0" w:beforeAutospacing="0" w:after="0" w:afterAutospacing="0" w:line="620" w:lineRule="atLeast"/>
        <w:ind w:firstLine="640"/>
        <w:jc w:val="both"/>
        <w:rPr>
          <w:rFonts w:ascii="等线" w:eastAsia="等线"/>
          <w:sz w:val="21"/>
          <w:szCs w:val="21"/>
        </w:rPr>
      </w:pPr>
      <w:r>
        <w:rPr>
          <w:rFonts w:ascii="黑体" w:hAnsi="黑体" w:eastAsia="黑体" w:cs="Times New Roman"/>
          <w:sz w:val="32"/>
          <w:szCs w:val="32"/>
        </w:rPr>
        <w:t>第一条</w:t>
      </w:r>
      <w:r>
        <w:rPr>
          <w:rFonts w:ascii="Times New Roman" w:hAnsi="Times New Roman" w:eastAsia="等线" w:cs="Times New Roman"/>
          <w:sz w:val="32"/>
          <w:szCs w:val="32"/>
        </w:rPr>
        <w:t>  </w:t>
      </w:r>
      <w:r>
        <w:rPr>
          <w:rFonts w:ascii="仿宋_GB2312" w:hAnsi="Times New Roman" w:eastAsia="仿宋_GB2312" w:cs="Times New Roman"/>
          <w:sz w:val="32"/>
          <w:szCs w:val="32"/>
        </w:rPr>
        <w:t>为</w:t>
      </w:r>
      <w:r>
        <w:rPr>
          <w:rFonts w:hint="eastAsia" w:ascii="仿宋_GB2312" w:hAnsi="Times New Roman" w:eastAsia="仿宋_GB2312" w:cs="Times New Roman"/>
          <w:sz w:val="32"/>
          <w:szCs w:val="32"/>
        </w:rPr>
        <w:t>深入推进依法行政，加快建设法治政府，</w:t>
      </w:r>
      <w:r>
        <w:rPr>
          <w:rFonts w:ascii="仿宋_GB2312" w:hAnsi="Times New Roman" w:eastAsia="仿宋_GB2312" w:cs="Times New Roman"/>
          <w:sz w:val="32"/>
          <w:szCs w:val="32"/>
        </w:rPr>
        <w:t>进一步</w:t>
      </w:r>
      <w:r>
        <w:rPr>
          <w:rFonts w:hint="eastAsia" w:ascii="仿宋_GB2312" w:hAnsi="Times New Roman" w:eastAsia="仿宋_GB2312" w:cs="Times New Roman"/>
          <w:sz w:val="32"/>
          <w:szCs w:val="32"/>
        </w:rPr>
        <w:t>加强和规范区</w:t>
      </w:r>
      <w:r>
        <w:rPr>
          <w:rFonts w:ascii="仿宋_GB2312" w:hAnsi="Times New Roman" w:eastAsia="仿宋_GB2312" w:cs="Times New Roman"/>
          <w:sz w:val="32"/>
          <w:szCs w:val="32"/>
        </w:rPr>
        <w:t>政府法律顾问工作，</w:t>
      </w:r>
      <w:r>
        <w:rPr>
          <w:rFonts w:hint="eastAsia" w:ascii="Times New Roman" w:hAnsi="Times New Roman" w:eastAsia="仿宋_GB2312" w:cs="Times New Roman"/>
          <w:sz w:val="32"/>
          <w:szCs w:val="32"/>
        </w:rPr>
        <w:t>充分发挥法律顾问在政府决策中的参谋助手作用</w:t>
      </w:r>
      <w:r>
        <w:rPr>
          <w:rFonts w:ascii="仿宋_GB2312" w:hAnsi="Times New Roman" w:eastAsia="仿宋_GB2312" w:cs="Times New Roman"/>
          <w:sz w:val="32"/>
          <w:szCs w:val="32"/>
        </w:rPr>
        <w:t>，根据国家和省、苏州市有关规定，结合本</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实际，制定本办法。</w:t>
      </w:r>
    </w:p>
    <w:p w14:paraId="691509F1">
      <w:pPr>
        <w:pStyle w:val="15"/>
        <w:spacing w:before="0" w:beforeAutospacing="0" w:after="0" w:afterAutospacing="0" w:line="620" w:lineRule="atLeast"/>
        <w:ind w:firstLine="640"/>
        <w:jc w:val="both"/>
        <w:rPr>
          <w:rFonts w:ascii="等线" w:eastAsia="等线"/>
          <w:sz w:val="21"/>
          <w:szCs w:val="21"/>
        </w:rPr>
      </w:pPr>
      <w:r>
        <w:rPr>
          <w:rFonts w:ascii="黑体" w:hAnsi="黑体" w:eastAsia="黑体" w:cs="Times New Roman"/>
          <w:sz w:val="32"/>
          <w:szCs w:val="32"/>
        </w:rPr>
        <w:t>第二条</w:t>
      </w:r>
      <w:r>
        <w:rPr>
          <w:rFonts w:ascii="Times New Roman" w:hAnsi="Times New Roman" w:eastAsia="等线" w:cs="Times New Roman"/>
          <w:b/>
          <w:bCs/>
          <w:sz w:val="32"/>
          <w:szCs w:val="32"/>
        </w:rPr>
        <w:t>  </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政府实行法律顾问制度。区政府开展区政府法律顾问工作，适用本办法。</w:t>
      </w:r>
    </w:p>
    <w:p w14:paraId="5E020CF0">
      <w:pPr>
        <w:pStyle w:val="15"/>
        <w:spacing w:before="0" w:beforeAutospacing="0" w:after="0" w:afterAutospacing="0" w:line="620" w:lineRule="atLeast"/>
        <w:ind w:firstLine="640"/>
        <w:jc w:val="both"/>
        <w:rPr>
          <w:rFonts w:ascii="等线" w:eastAsia="等线"/>
          <w:sz w:val="21"/>
          <w:szCs w:val="21"/>
        </w:rPr>
      </w:pPr>
      <w:r>
        <w:rPr>
          <w:rFonts w:ascii="黑体" w:hAnsi="黑体" w:eastAsia="黑体" w:cs="Times New Roman"/>
          <w:sz w:val="32"/>
          <w:szCs w:val="32"/>
        </w:rPr>
        <w:t>第三条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区政府法律顾问工作应当忠</w:t>
      </w:r>
      <w:r>
        <w:rPr>
          <w:rFonts w:hint="eastAsia" w:ascii="仿宋_GB2312" w:hAnsi="Times New Roman" w:eastAsia="仿宋_GB2312" w:cs="Times New Roman"/>
          <w:sz w:val="32"/>
          <w:szCs w:val="32"/>
        </w:rPr>
        <w:t>于法律和事实</w:t>
      </w:r>
      <w:r>
        <w:rPr>
          <w:rFonts w:ascii="仿宋_GB2312" w:hAnsi="Times New Roman" w:eastAsia="仿宋_GB2312" w:cs="Times New Roman"/>
          <w:sz w:val="32"/>
          <w:szCs w:val="32"/>
        </w:rPr>
        <w:t>，坚持以事前防范和事中控制法律风险为主，事后法律补救为辅的原则。</w:t>
      </w:r>
    </w:p>
    <w:p w14:paraId="6FD413D2">
      <w:pPr>
        <w:pStyle w:val="15"/>
        <w:spacing w:before="0" w:beforeAutospacing="0" w:after="0" w:afterAutospacing="0" w:line="620" w:lineRule="atLeast"/>
        <w:ind w:firstLine="640"/>
        <w:jc w:val="both"/>
        <w:rPr>
          <w:rFonts w:ascii="等线" w:eastAsia="等线"/>
          <w:sz w:val="21"/>
          <w:szCs w:val="21"/>
        </w:rPr>
      </w:pPr>
      <w:r>
        <w:rPr>
          <w:rFonts w:ascii="黑体" w:hAnsi="黑体" w:eastAsia="黑体" w:cs="Times New Roman"/>
          <w:sz w:val="32"/>
          <w:szCs w:val="32"/>
        </w:rPr>
        <w:t>第四条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区司法局在区政府统一领导下组织实施本办法，具体负责区政府法律顾问</w:t>
      </w:r>
      <w:r>
        <w:rPr>
          <w:rFonts w:hint="eastAsia" w:ascii="仿宋_GB2312" w:hAnsi="Times New Roman" w:eastAsia="仿宋_GB2312" w:cs="Times New Roman"/>
          <w:sz w:val="32"/>
          <w:szCs w:val="32"/>
        </w:rPr>
        <w:t>的选聘、管理和日常服务联络</w:t>
      </w:r>
      <w:r>
        <w:rPr>
          <w:rFonts w:ascii="仿宋_GB2312" w:hAnsi="Times New Roman" w:eastAsia="仿宋_GB2312" w:cs="Times New Roman"/>
          <w:sz w:val="32"/>
          <w:szCs w:val="32"/>
        </w:rPr>
        <w:t>工作。</w:t>
      </w:r>
    </w:p>
    <w:p w14:paraId="330B02DD">
      <w:pPr>
        <w:pStyle w:val="15"/>
        <w:spacing w:before="0" w:beforeAutospacing="0" w:after="0" w:afterAutospacing="0" w:line="620" w:lineRule="atLeast"/>
        <w:ind w:firstLine="640"/>
        <w:jc w:val="both"/>
        <w:rPr>
          <w:rFonts w:ascii="等线" w:eastAsia="等线"/>
          <w:sz w:val="21"/>
          <w:szCs w:val="21"/>
        </w:rPr>
      </w:pPr>
      <w:r>
        <w:rPr>
          <w:rFonts w:ascii="黑体" w:hAnsi="黑体" w:eastAsia="黑体" w:cs="Times New Roman"/>
          <w:sz w:val="32"/>
          <w:szCs w:val="32"/>
        </w:rPr>
        <w:t>第五条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区政府法律顾问所需工作经费，列入区司法局部门预算。</w:t>
      </w:r>
    </w:p>
    <w:p w14:paraId="7C5BEDBE">
      <w:pPr>
        <w:pStyle w:val="15"/>
        <w:spacing w:before="0" w:beforeAutospacing="0" w:after="0" w:afterAutospacing="0" w:line="620" w:lineRule="atLeast"/>
        <w:ind w:firstLine="640"/>
        <w:jc w:val="both"/>
        <w:rPr>
          <w:rFonts w:ascii="等线" w:eastAsia="等线"/>
          <w:sz w:val="21"/>
          <w:szCs w:val="21"/>
        </w:rPr>
      </w:pPr>
      <w:r>
        <w:rPr>
          <w:rFonts w:ascii="仿宋_GB2312" w:hAnsi="Times New Roman" w:eastAsia="仿宋_GB2312" w:cs="Times New Roman"/>
          <w:sz w:val="32"/>
          <w:szCs w:val="32"/>
        </w:rPr>
        <w:t>财政、审计部门根据各自职责对区政府法律顾问工作经费使用情况进行监督和审计。</w:t>
      </w:r>
    </w:p>
    <w:p w14:paraId="5457AF3C">
      <w:pPr>
        <w:pStyle w:val="15"/>
        <w:spacing w:before="0" w:beforeAutospacing="0" w:after="0" w:afterAutospacing="0" w:line="620" w:lineRule="atLeast"/>
        <w:jc w:val="center"/>
        <w:rPr>
          <w:rFonts w:ascii="等线" w:eastAsia="等线"/>
          <w:sz w:val="21"/>
          <w:szCs w:val="21"/>
        </w:rPr>
      </w:pPr>
      <w:r>
        <w:rPr>
          <w:rFonts w:hint="eastAsia" w:ascii="等线" w:eastAsia="等线"/>
          <w:sz w:val="21"/>
          <w:szCs w:val="21"/>
        </w:rPr>
        <w:t> </w:t>
      </w:r>
    </w:p>
    <w:p w14:paraId="432C575C">
      <w:pPr>
        <w:pStyle w:val="15"/>
        <w:spacing w:before="0" w:beforeAutospacing="0" w:after="0" w:afterAutospacing="0" w:line="620" w:lineRule="atLeast"/>
        <w:jc w:val="center"/>
        <w:rPr>
          <w:rFonts w:ascii="等线" w:eastAsia="等线"/>
          <w:sz w:val="21"/>
          <w:szCs w:val="21"/>
        </w:rPr>
      </w:pPr>
      <w:r>
        <w:rPr>
          <w:rFonts w:hint="eastAsia" w:ascii="黑体" w:hAnsi="黑体" w:eastAsia="黑体"/>
          <w:sz w:val="32"/>
          <w:szCs w:val="32"/>
        </w:rPr>
        <w:t>第二章  </w:t>
      </w:r>
      <w:r>
        <w:rPr>
          <w:rFonts w:ascii="黑体" w:hAnsi="黑体" w:eastAsia="黑体" w:cs="Times New Roman"/>
          <w:sz w:val="32"/>
          <w:szCs w:val="32"/>
        </w:rPr>
        <w:t>聘任管理</w:t>
      </w:r>
    </w:p>
    <w:p w14:paraId="1FC2A435">
      <w:pPr>
        <w:pStyle w:val="15"/>
        <w:spacing w:before="0" w:beforeAutospacing="0" w:after="0" w:afterAutospacing="0" w:line="520" w:lineRule="atLeast"/>
        <w:jc w:val="both"/>
        <w:rPr>
          <w:rFonts w:ascii="等线" w:eastAsia="等线"/>
          <w:sz w:val="21"/>
          <w:szCs w:val="21"/>
        </w:rPr>
      </w:pPr>
      <w:r>
        <w:rPr>
          <w:rFonts w:hint="eastAsia" w:ascii="等线" w:eastAsia="等线"/>
          <w:sz w:val="21"/>
          <w:szCs w:val="21"/>
        </w:rPr>
        <w:t> </w:t>
      </w:r>
    </w:p>
    <w:p w14:paraId="137202EA">
      <w:pPr>
        <w:pStyle w:val="15"/>
        <w:spacing w:before="0" w:beforeAutospacing="0" w:after="0" w:afterAutospacing="0" w:line="600" w:lineRule="atLeast"/>
        <w:ind w:firstLine="640"/>
        <w:jc w:val="both"/>
        <w:rPr>
          <w:rFonts w:ascii="等线" w:eastAsia="等线"/>
          <w:sz w:val="21"/>
          <w:szCs w:val="21"/>
        </w:rPr>
      </w:pPr>
      <w:r>
        <w:rPr>
          <w:rFonts w:ascii="黑体" w:hAnsi="黑体" w:eastAsia="黑体" w:cs="Times New Roman"/>
          <w:sz w:val="32"/>
          <w:szCs w:val="32"/>
        </w:rPr>
        <w:t>第六条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区政府可以根据工作需要，聘请政治素质高、职业操守好、专业能力强、实践经验丰富的</w:t>
      </w:r>
      <w:r>
        <w:rPr>
          <w:rFonts w:hint="eastAsia" w:ascii="仿宋_GB2312" w:hAnsi="Times New Roman" w:eastAsia="仿宋_GB2312" w:cs="Times New Roman"/>
          <w:sz w:val="32"/>
          <w:szCs w:val="32"/>
        </w:rPr>
        <w:t>法学专家、</w:t>
      </w:r>
      <w:r>
        <w:rPr>
          <w:rFonts w:ascii="仿宋_GB2312" w:hAnsi="Times New Roman" w:eastAsia="仿宋_GB2312" w:cs="Times New Roman"/>
          <w:sz w:val="32"/>
          <w:szCs w:val="32"/>
        </w:rPr>
        <w:t>律师等专业人士担任区政府法律顾问。</w:t>
      </w:r>
    </w:p>
    <w:p w14:paraId="5B187E41">
      <w:pPr>
        <w:pStyle w:val="15"/>
        <w:spacing w:before="0" w:beforeAutospacing="0" w:after="0" w:afterAutospacing="0" w:line="600" w:lineRule="atLeast"/>
        <w:ind w:firstLine="640"/>
        <w:jc w:val="both"/>
        <w:rPr>
          <w:rFonts w:ascii="等线" w:eastAsia="等线"/>
          <w:sz w:val="21"/>
          <w:szCs w:val="21"/>
        </w:rPr>
      </w:pPr>
      <w:r>
        <w:rPr>
          <w:rFonts w:ascii="黑体" w:hAnsi="黑体" w:eastAsia="黑体" w:cs="Times New Roman"/>
          <w:sz w:val="32"/>
          <w:szCs w:val="32"/>
        </w:rPr>
        <w:t>第七条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区政府法律顾问的选聘遵循公开、</w:t>
      </w:r>
      <w:r>
        <w:rPr>
          <w:rFonts w:hint="eastAsia" w:ascii="仿宋_GB2312" w:hAnsi="Times New Roman" w:eastAsia="仿宋_GB2312" w:cs="Times New Roman"/>
          <w:sz w:val="32"/>
          <w:szCs w:val="32"/>
        </w:rPr>
        <w:t>公平、</w:t>
      </w:r>
      <w:r>
        <w:rPr>
          <w:rFonts w:ascii="仿宋_GB2312" w:hAnsi="Times New Roman" w:eastAsia="仿宋_GB2312" w:cs="Times New Roman"/>
          <w:sz w:val="32"/>
          <w:szCs w:val="32"/>
        </w:rPr>
        <w:t>公正、择优的原则，从符合条件的人员中选聘。</w:t>
      </w:r>
    </w:p>
    <w:p w14:paraId="29A4F75B">
      <w:pPr>
        <w:pStyle w:val="15"/>
        <w:spacing w:before="0" w:beforeAutospacing="0" w:after="0" w:afterAutospacing="0" w:line="600" w:lineRule="atLeast"/>
        <w:ind w:firstLine="640"/>
        <w:jc w:val="both"/>
        <w:rPr>
          <w:rFonts w:ascii="黑体" w:hAnsi="黑体" w:eastAsia="仿宋_GB2312" w:cs="Times New Roman"/>
          <w:sz w:val="32"/>
          <w:szCs w:val="32"/>
        </w:rPr>
      </w:pPr>
      <w:r>
        <w:rPr>
          <w:rFonts w:ascii="黑体" w:hAnsi="黑体" w:eastAsia="黑体" w:cs="Times New Roman"/>
          <w:sz w:val="32"/>
          <w:szCs w:val="32"/>
        </w:rPr>
        <w:t>第八条</w:t>
      </w:r>
      <w:r>
        <w:rPr>
          <w:rFonts w:hint="eastAsia" w:ascii="黑体" w:hAnsi="黑体" w:eastAsia="黑体" w:cs="Times New Roman"/>
          <w:sz w:val="32"/>
          <w:szCs w:val="32"/>
        </w:rPr>
        <w:t xml:space="preserve">  </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司法局可以通过政府购买服务的形式，聘请一定数量的法律专业人士作为</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政府法律顾问助理，协助处理</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政府法律顾问工作。</w:t>
      </w:r>
      <w:r>
        <w:rPr>
          <w:rFonts w:hint="eastAsia" w:ascii="仿宋_GB2312" w:hAnsi="Times New Roman" w:eastAsia="仿宋_GB2312" w:cs="Times New Roman"/>
          <w:sz w:val="32"/>
          <w:szCs w:val="32"/>
        </w:rPr>
        <w:t>每次聘期不超过2年。区</w:t>
      </w:r>
      <w:r>
        <w:rPr>
          <w:rFonts w:ascii="仿宋_GB2312" w:hAnsi="Times New Roman" w:eastAsia="仿宋_GB2312" w:cs="Times New Roman"/>
          <w:sz w:val="32"/>
          <w:szCs w:val="32"/>
        </w:rPr>
        <w:t>政府法律顾问助理</w:t>
      </w:r>
      <w:r>
        <w:rPr>
          <w:rFonts w:hint="eastAsia" w:ascii="仿宋_GB2312" w:hAnsi="Times New Roman" w:eastAsia="仿宋_GB2312" w:cs="Times New Roman"/>
          <w:sz w:val="32"/>
          <w:szCs w:val="32"/>
        </w:rPr>
        <w:t>的职责、权利、义务、考核管理、退出机制及违约责任，按照签订的聘任合同执行。</w:t>
      </w:r>
    </w:p>
    <w:p w14:paraId="45D71216">
      <w:pPr>
        <w:pStyle w:val="15"/>
        <w:spacing w:before="0" w:beforeAutospacing="0" w:after="0" w:afterAutospacing="0" w:line="600" w:lineRule="atLeast"/>
        <w:ind w:firstLine="640"/>
        <w:jc w:val="both"/>
        <w:rPr>
          <w:rFonts w:ascii="等线" w:eastAsia="等线"/>
          <w:sz w:val="21"/>
          <w:szCs w:val="21"/>
        </w:rPr>
      </w:pPr>
      <w:r>
        <w:rPr>
          <w:rFonts w:hint="eastAsia" w:ascii="黑体" w:hAnsi="黑体" w:eastAsia="黑体" w:cs="Times New Roman"/>
          <w:sz w:val="32"/>
          <w:szCs w:val="32"/>
        </w:rPr>
        <w:t>第九条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区政府法律顾问应当具备以下条件：</w:t>
      </w:r>
    </w:p>
    <w:p w14:paraId="063FA882">
      <w:pPr>
        <w:pStyle w:val="15"/>
        <w:spacing w:before="0" w:beforeAutospacing="0" w:after="0" w:afterAutospacing="0" w:line="600" w:lineRule="atLeast"/>
        <w:ind w:firstLine="640"/>
        <w:jc w:val="both"/>
        <w:rPr>
          <w:rFonts w:ascii="等线" w:eastAsia="等线"/>
          <w:sz w:val="21"/>
          <w:szCs w:val="21"/>
        </w:rPr>
      </w:pPr>
      <w:r>
        <w:rPr>
          <w:rFonts w:ascii="仿宋_GB2312" w:hAnsi="Times New Roman" w:eastAsia="仿宋_GB2312" w:cs="Times New Roman"/>
          <w:sz w:val="32"/>
          <w:szCs w:val="32"/>
        </w:rPr>
        <w:t>（一）政治素质高、拥护党的理论和路线方针政策，一般应当是中国共产党党员；</w:t>
      </w:r>
    </w:p>
    <w:p w14:paraId="6AB5B50E">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ascii="仿宋_GB2312" w:hAnsi="Times New Roman" w:eastAsia="仿宋_GB2312" w:cs="Times New Roman"/>
          <w:sz w:val="32"/>
          <w:szCs w:val="32"/>
        </w:rPr>
        <w:t>（二）忠于中华人民共和国宪法，遵守法律，具有良好的职业道德，热心于政府公共事务，有充足的时间和精力履行职责；</w:t>
      </w:r>
    </w:p>
    <w:p w14:paraId="051DC097">
      <w:pPr>
        <w:pStyle w:val="15"/>
        <w:spacing w:before="0" w:beforeAutospacing="0" w:after="0" w:afterAutospacing="0" w:line="600" w:lineRule="atLeast"/>
        <w:ind w:firstLine="640"/>
        <w:jc w:val="both"/>
        <w:rPr>
          <w:rFonts w:ascii="等线" w:eastAsia="仿宋_GB2312"/>
          <w:sz w:val="21"/>
          <w:szCs w:val="21"/>
        </w:rPr>
      </w:pPr>
      <w:r>
        <w:rPr>
          <w:rFonts w:ascii="仿宋_GB2312" w:hAnsi="Times New Roman" w:eastAsia="仿宋_GB2312" w:cs="Times New Roman"/>
          <w:sz w:val="32"/>
          <w:szCs w:val="32"/>
        </w:rPr>
        <w:t>（三）</w:t>
      </w:r>
      <w:r>
        <w:rPr>
          <w:rFonts w:ascii="Times New Roman" w:hAnsi="Times New Roman" w:eastAsia="仿宋_GB2312"/>
          <w:color w:val="000000"/>
          <w:sz w:val="32"/>
          <w:szCs w:val="32"/>
          <w:lang w:bidi="ar"/>
        </w:rPr>
        <w:t>法学专家应当在其所从事的法学教学、法学研究、法律实践等领域经验丰富、成就显著，具有较大的影响力</w:t>
      </w:r>
      <w:r>
        <w:rPr>
          <w:rFonts w:hint="eastAsia" w:ascii="Times New Roman" w:hAnsi="Times New Roman" w:eastAsia="仿宋_GB2312"/>
          <w:color w:val="000000"/>
          <w:sz w:val="32"/>
          <w:szCs w:val="32"/>
          <w:lang w:bidi="ar"/>
        </w:rPr>
        <w:t>；律师应当</w:t>
      </w:r>
      <w:r>
        <w:rPr>
          <w:rFonts w:hint="eastAsia" w:ascii="仿宋_GB2312" w:eastAsia="仿宋_GB2312"/>
          <w:sz w:val="32"/>
          <w:szCs w:val="32"/>
        </w:rPr>
        <w:t>取得律师执业证并有5年以上执业经验，专业能力强，具有丰富的党政机关法律顾问工作经验和经历；</w:t>
      </w:r>
    </w:p>
    <w:p w14:paraId="0A37D176">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ascii="仿宋_GB2312" w:hAnsi="Times New Roman" w:eastAsia="仿宋_GB2312" w:cs="Times New Roman"/>
          <w:sz w:val="32"/>
          <w:szCs w:val="32"/>
        </w:rPr>
        <w:t>（四）未受过刑事处罚或者限制人身自由的行政处罚</w:t>
      </w:r>
      <w:r>
        <w:rPr>
          <w:rFonts w:hint="eastAsia" w:ascii="仿宋_GB2312" w:hAnsi="Times New Roman" w:eastAsia="仿宋_GB2312" w:cs="Times New Roman"/>
          <w:sz w:val="32"/>
          <w:szCs w:val="32"/>
        </w:rPr>
        <w:t>；</w:t>
      </w:r>
    </w:p>
    <w:p w14:paraId="5BD4DCD8">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w:t>
      </w:r>
      <w:r>
        <w:rPr>
          <w:rFonts w:ascii="Times New Roman" w:hAnsi="Times New Roman" w:eastAsia="仿宋_GB2312"/>
          <w:color w:val="000000"/>
          <w:sz w:val="32"/>
          <w:szCs w:val="32"/>
          <w:lang w:bidi="ar"/>
        </w:rPr>
        <w:t>法学专家未因学术不端行为受过处分</w:t>
      </w:r>
      <w:r>
        <w:rPr>
          <w:rFonts w:hint="eastAsia" w:ascii="Times New Roman" w:hAnsi="Times New Roman" w:eastAsia="仿宋_GB2312"/>
          <w:color w:val="000000"/>
          <w:sz w:val="32"/>
          <w:szCs w:val="32"/>
          <w:lang w:bidi="ar"/>
        </w:rPr>
        <w:t>；律师</w:t>
      </w:r>
      <w:r>
        <w:rPr>
          <w:rFonts w:ascii="仿宋_GB2312" w:hAnsi="Times New Roman" w:eastAsia="仿宋_GB2312" w:cs="Times New Roman"/>
          <w:sz w:val="32"/>
          <w:szCs w:val="32"/>
        </w:rPr>
        <w:t>未受过司法行政部门的行政处罚或者律师协会的行业</w:t>
      </w:r>
      <w:r>
        <w:rPr>
          <w:rFonts w:hint="eastAsia" w:ascii="仿宋_GB2312" w:hAnsi="Times New Roman" w:eastAsia="仿宋_GB2312" w:cs="Times New Roman"/>
          <w:sz w:val="32"/>
          <w:szCs w:val="32"/>
        </w:rPr>
        <w:t>处分</w:t>
      </w:r>
      <w:r>
        <w:rPr>
          <w:rFonts w:ascii="仿宋_GB2312" w:hAnsi="Times New Roman" w:eastAsia="仿宋_GB2312" w:cs="Times New Roman"/>
          <w:sz w:val="32"/>
          <w:szCs w:val="32"/>
        </w:rPr>
        <w:t>；</w:t>
      </w:r>
    </w:p>
    <w:p w14:paraId="0D023B5F">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eastAsia="仿宋_GB2312"/>
          <w:sz w:val="32"/>
          <w:szCs w:val="32"/>
        </w:rPr>
        <w:t>（六）优先选聘在行政管理、行政执法、行政协议等领域具有专长的法学专家、律师；</w:t>
      </w:r>
    </w:p>
    <w:p w14:paraId="3086DB38">
      <w:pPr>
        <w:pStyle w:val="15"/>
        <w:spacing w:before="0" w:beforeAutospacing="0" w:after="0" w:afterAutospacing="0" w:line="600" w:lineRule="atLeast"/>
        <w:ind w:firstLine="640"/>
        <w:jc w:val="both"/>
        <w:rPr>
          <w:rFonts w:ascii="等线" w:eastAsia="等线"/>
          <w:sz w:val="21"/>
          <w:szCs w:val="21"/>
        </w:rPr>
      </w:pPr>
      <w:r>
        <w:rPr>
          <w:rFonts w:ascii="仿宋_GB2312" w:hAnsi="Times New Roman" w:eastAsia="仿宋_GB2312" w:cs="Times New Roman"/>
          <w:sz w:val="32"/>
          <w:szCs w:val="32"/>
        </w:rPr>
        <w:t>（六）其他需要具备的条件。</w:t>
      </w:r>
    </w:p>
    <w:p w14:paraId="081F8536">
      <w:pPr>
        <w:pStyle w:val="15"/>
        <w:spacing w:before="0" w:beforeAutospacing="0" w:after="0" w:afterAutospacing="0" w:line="600" w:lineRule="atLeast"/>
        <w:ind w:firstLine="640"/>
        <w:jc w:val="both"/>
        <w:rPr>
          <w:rFonts w:ascii="等线" w:eastAsia="等线"/>
          <w:sz w:val="21"/>
          <w:szCs w:val="21"/>
        </w:rPr>
      </w:pPr>
      <w:r>
        <w:rPr>
          <w:rFonts w:ascii="仿宋_GB2312" w:hAnsi="Times New Roman" w:eastAsia="仿宋_GB2312" w:cs="Times New Roman"/>
          <w:sz w:val="32"/>
          <w:szCs w:val="32"/>
        </w:rPr>
        <w:t>曾任法官、检察官、立法工作者或者从事过政府法治工作的律师，其担任法官、检察官、立法工作者或者政府法治工作人员的经历视同律师执业经验。</w:t>
      </w:r>
    </w:p>
    <w:p w14:paraId="2A88410F">
      <w:pPr>
        <w:pStyle w:val="15"/>
        <w:spacing w:before="0" w:beforeAutospacing="0" w:after="0" w:afterAutospacing="0" w:line="600" w:lineRule="atLeast"/>
        <w:ind w:firstLine="640"/>
        <w:jc w:val="both"/>
        <w:rPr>
          <w:rFonts w:ascii="等线" w:eastAsia="等线"/>
          <w:sz w:val="21"/>
          <w:szCs w:val="21"/>
        </w:rPr>
      </w:pPr>
      <w:r>
        <w:rPr>
          <w:rFonts w:hint="eastAsia" w:ascii="黑体" w:hAnsi="黑体" w:eastAsia="黑体" w:cs="Times New Roman"/>
          <w:sz w:val="32"/>
          <w:szCs w:val="32"/>
        </w:rPr>
        <w:t>第十条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区政府法律顾问的选聘，应当按照下列程序进行：</w:t>
      </w:r>
    </w:p>
    <w:p w14:paraId="3EA55F32">
      <w:pPr>
        <w:pStyle w:val="15"/>
        <w:spacing w:before="0" w:beforeAutospacing="0" w:after="0" w:afterAutospacing="0" w:line="600" w:lineRule="atLeast"/>
        <w:ind w:firstLine="640"/>
        <w:jc w:val="both"/>
        <w:rPr>
          <w:rFonts w:ascii="等线" w:eastAsia="等线"/>
          <w:sz w:val="21"/>
          <w:szCs w:val="21"/>
        </w:rPr>
      </w:pPr>
      <w:r>
        <w:rPr>
          <w:rFonts w:ascii="仿宋_GB2312" w:hAnsi="Times New Roman" w:eastAsia="仿宋_GB2312" w:cs="Times New Roman"/>
          <w:sz w:val="32"/>
          <w:szCs w:val="32"/>
        </w:rPr>
        <w:t>（一）发布公告</w:t>
      </w:r>
      <w:r>
        <w:rPr>
          <w:rFonts w:hint="eastAsia" w:ascii="仿宋_GB2312" w:hAnsi="Times New Roman" w:eastAsia="仿宋_GB2312" w:cs="Times New Roman"/>
          <w:sz w:val="32"/>
          <w:szCs w:val="32"/>
        </w:rPr>
        <w:t>及报名</w:t>
      </w:r>
      <w:r>
        <w:rPr>
          <w:rFonts w:ascii="仿宋_GB2312" w:hAnsi="Times New Roman" w:eastAsia="仿宋_GB2312" w:cs="Times New Roman"/>
          <w:sz w:val="32"/>
          <w:szCs w:val="32"/>
        </w:rPr>
        <w:t>。区司法局对外发布选聘公告，明确区政府法律顾问的</w:t>
      </w:r>
      <w:r>
        <w:rPr>
          <w:rFonts w:hint="eastAsia" w:ascii="仿宋_GB2312" w:hAnsi="Times New Roman" w:eastAsia="仿宋_GB2312" w:cs="Times New Roman"/>
          <w:sz w:val="32"/>
          <w:szCs w:val="32"/>
        </w:rPr>
        <w:t>选聘条件</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主要职责</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选聘程序</w:t>
      </w:r>
      <w:r>
        <w:rPr>
          <w:rFonts w:ascii="仿宋_GB2312" w:hAnsi="Times New Roman" w:eastAsia="仿宋_GB2312" w:cs="Times New Roman"/>
          <w:sz w:val="32"/>
          <w:szCs w:val="32"/>
        </w:rPr>
        <w:t>等事项。</w:t>
      </w:r>
      <w:r>
        <w:rPr>
          <w:rFonts w:hint="eastAsia" w:ascii="仿宋_GB2312" w:hAnsi="Times New Roman" w:eastAsia="仿宋_GB2312" w:cs="Times New Roman"/>
          <w:sz w:val="32"/>
          <w:szCs w:val="32"/>
        </w:rPr>
        <w:t>采取线上线下相结合的方式，广泛吸纳符合条件的律师自愿报名</w:t>
      </w:r>
      <w:r>
        <w:rPr>
          <w:rFonts w:ascii="仿宋_GB2312" w:hAnsi="Times New Roman" w:eastAsia="仿宋_GB2312" w:cs="Times New Roman"/>
          <w:sz w:val="32"/>
          <w:szCs w:val="32"/>
        </w:rPr>
        <w:t>。</w:t>
      </w:r>
    </w:p>
    <w:p w14:paraId="317A3D41">
      <w:pPr>
        <w:pStyle w:val="15"/>
        <w:spacing w:before="120" w:beforeAutospacing="0" w:after="120" w:afterAutospacing="0" w:line="530" w:lineRule="exact"/>
        <w:ind w:firstLine="640" w:firstLineChars="200"/>
        <w:rPr>
          <w:rFonts w:ascii="Times New Roman" w:hAnsi="Times New Roman" w:eastAsia="仿宋_GB2312" w:cs="Times New Roman"/>
          <w:kern w:val="2"/>
          <w:sz w:val="32"/>
          <w:szCs w:val="32"/>
        </w:rPr>
      </w:pP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二</w:t>
      </w:r>
      <w:r>
        <w:rPr>
          <w:rFonts w:ascii="仿宋_GB2312" w:hAnsi="Times New Roman" w:eastAsia="仿宋_GB2312" w:cs="Times New Roman"/>
          <w:sz w:val="32"/>
          <w:szCs w:val="32"/>
        </w:rPr>
        <w:t>）资格审查。区司法局按照资格条件对</w:t>
      </w:r>
      <w:r>
        <w:rPr>
          <w:rFonts w:hint="eastAsia" w:ascii="仿宋_GB2312" w:hAnsi="Times New Roman" w:eastAsia="仿宋_GB2312" w:cs="Times New Roman"/>
          <w:sz w:val="32"/>
          <w:szCs w:val="32"/>
        </w:rPr>
        <w:t>应聘人员</w:t>
      </w:r>
      <w:r>
        <w:rPr>
          <w:rFonts w:ascii="仿宋_GB2312" w:hAnsi="Times New Roman" w:eastAsia="仿宋_GB2312" w:cs="Times New Roman"/>
          <w:sz w:val="32"/>
          <w:szCs w:val="32"/>
        </w:rPr>
        <w:t>进行资格审查，</w:t>
      </w:r>
      <w:r>
        <w:rPr>
          <w:rFonts w:hint="eastAsia" w:ascii="Times New Roman" w:hAnsi="Times New Roman" w:eastAsia="仿宋_GB2312" w:cs="Times New Roman"/>
          <w:kern w:val="2"/>
          <w:sz w:val="32"/>
          <w:szCs w:val="32"/>
        </w:rPr>
        <w:t>并向有关单位查询是否存在违法犯罪记录、律师协会行业处分等情况，</w:t>
      </w:r>
      <w:r>
        <w:rPr>
          <w:rFonts w:hint="eastAsia" w:ascii="仿宋_GB2312" w:hAnsi="Times New Roman" w:eastAsia="仿宋_GB2312" w:cs="Times New Roman"/>
          <w:sz w:val="32"/>
          <w:szCs w:val="32"/>
        </w:rPr>
        <w:t>拟定选聘的初步人选名单</w:t>
      </w:r>
      <w:r>
        <w:rPr>
          <w:rFonts w:ascii="仿宋_GB2312" w:hAnsi="Times New Roman" w:eastAsia="仿宋_GB2312" w:cs="Times New Roman"/>
          <w:sz w:val="32"/>
          <w:szCs w:val="32"/>
        </w:rPr>
        <w:t>。</w:t>
      </w:r>
      <w:r>
        <w:rPr>
          <w:rFonts w:hint="eastAsia" w:ascii="Times New Roman" w:hAnsi="Times New Roman" w:eastAsia="仿宋_GB2312" w:cs="Times New Roman"/>
          <w:kern w:val="2"/>
          <w:sz w:val="32"/>
          <w:szCs w:val="32"/>
        </w:rPr>
        <w:t>必要时，可以对报名</w:t>
      </w:r>
      <w:r>
        <w:rPr>
          <w:rFonts w:ascii="Times New Roman" w:hAnsi="Times New Roman" w:eastAsia="仿宋_GB2312" w:cs="Times New Roman"/>
          <w:kern w:val="2"/>
          <w:sz w:val="32"/>
          <w:szCs w:val="32"/>
        </w:rPr>
        <w:t>人员</w:t>
      </w:r>
      <w:r>
        <w:rPr>
          <w:rFonts w:hint="eastAsia" w:ascii="Times New Roman" w:hAnsi="Times New Roman" w:eastAsia="仿宋_GB2312" w:cs="Times New Roman"/>
          <w:kern w:val="2"/>
          <w:sz w:val="32"/>
          <w:szCs w:val="32"/>
        </w:rPr>
        <w:t>进行面试。</w:t>
      </w:r>
    </w:p>
    <w:p w14:paraId="09DC903D">
      <w:pPr>
        <w:pStyle w:val="15"/>
        <w:spacing w:before="0" w:beforeAutospacing="0" w:after="0" w:afterAutospacing="0" w:line="600" w:lineRule="atLeast"/>
        <w:ind w:firstLine="640"/>
        <w:jc w:val="both"/>
        <w:rPr>
          <w:rFonts w:ascii="等线" w:eastAsia="等线"/>
          <w:sz w:val="21"/>
          <w:szCs w:val="21"/>
        </w:rPr>
      </w:pPr>
      <w:r>
        <w:rPr>
          <w:rFonts w:hint="eastAsia" w:ascii="仿宋_GB2312" w:hAnsi="Times New Roman" w:eastAsia="仿宋_GB2312" w:cs="Times New Roman"/>
          <w:sz w:val="32"/>
          <w:szCs w:val="32"/>
        </w:rPr>
        <w:t>（三）集体审议</w:t>
      </w:r>
      <w:r>
        <w:rPr>
          <w:rFonts w:hint="eastAsia" w:ascii="仿宋_GB2312" w:hAnsi="Times New Roman" w:eastAsia="仿宋_GB2312" w:cs="Times New Roman"/>
          <w:spacing w:val="-6"/>
          <w:sz w:val="32"/>
          <w:szCs w:val="32"/>
        </w:rPr>
        <w:t>。</w:t>
      </w:r>
      <w:r>
        <w:rPr>
          <w:rFonts w:hint="eastAsia" w:ascii="仿宋_GB2312" w:eastAsia="仿宋_GB2312" w:cs="Times New Roman"/>
          <w:kern w:val="2"/>
          <w:sz w:val="32"/>
          <w:szCs w:val="32"/>
        </w:rPr>
        <w:t>对拟选聘初步人选名单进行集体审议，择优拟定选聘建议人选名单。</w:t>
      </w:r>
      <w:r>
        <w:rPr>
          <w:rFonts w:hint="eastAsia" w:ascii="Times New Roman" w:hAnsi="Times New Roman" w:eastAsia="仿宋_GB2312" w:cs="Times New Roman"/>
          <w:kern w:val="2"/>
          <w:sz w:val="32"/>
          <w:szCs w:val="32"/>
        </w:rPr>
        <w:t>必要时，可以对候选</w:t>
      </w:r>
      <w:r>
        <w:rPr>
          <w:rFonts w:ascii="Times New Roman" w:hAnsi="Times New Roman" w:eastAsia="仿宋_GB2312" w:cs="Times New Roman"/>
          <w:kern w:val="2"/>
          <w:sz w:val="32"/>
          <w:szCs w:val="32"/>
        </w:rPr>
        <w:t>人员</w:t>
      </w:r>
      <w:r>
        <w:rPr>
          <w:rFonts w:hint="eastAsia" w:ascii="Times New Roman" w:hAnsi="Times New Roman" w:eastAsia="仿宋_GB2312" w:cs="Times New Roman"/>
          <w:kern w:val="2"/>
          <w:sz w:val="32"/>
          <w:szCs w:val="32"/>
        </w:rPr>
        <w:t>进行面试。</w:t>
      </w:r>
    </w:p>
    <w:p w14:paraId="3D8D711D">
      <w:pPr>
        <w:pStyle w:val="15"/>
        <w:spacing w:before="0" w:beforeAutospacing="0" w:after="0" w:afterAutospacing="0" w:line="600" w:lineRule="atLeast"/>
        <w:ind w:firstLine="640"/>
        <w:jc w:val="both"/>
        <w:rPr>
          <w:rFonts w:ascii="等线" w:eastAsia="等线"/>
          <w:sz w:val="21"/>
          <w:szCs w:val="21"/>
        </w:rPr>
      </w:pPr>
      <w:r>
        <w:rPr>
          <w:rFonts w:ascii="仿宋_GB2312" w:hAnsi="Times New Roman" w:eastAsia="仿宋_GB2312" w:cs="Times New Roman"/>
          <w:sz w:val="32"/>
          <w:szCs w:val="32"/>
        </w:rPr>
        <w:t>（四）</w:t>
      </w:r>
      <w:r>
        <w:rPr>
          <w:rFonts w:hint="eastAsia" w:ascii="仿宋_GB2312" w:hAnsi="Times New Roman" w:eastAsia="仿宋_GB2312" w:cs="Times New Roman"/>
          <w:sz w:val="32"/>
          <w:szCs w:val="32"/>
        </w:rPr>
        <w:t>公示及决定。</w:t>
      </w:r>
      <w:r>
        <w:rPr>
          <w:rFonts w:hint="eastAsia" w:ascii="仿宋_GB2312" w:hAnsi="Times New Roman" w:eastAsia="仿宋_GB2312" w:cs="Times New Roman"/>
          <w:spacing w:val="-6"/>
          <w:sz w:val="32"/>
          <w:szCs w:val="32"/>
        </w:rPr>
        <w:t>将拟</w:t>
      </w:r>
      <w:bookmarkStart w:id="1" w:name="OLE_LINK12"/>
      <w:r>
        <w:rPr>
          <w:rFonts w:hint="eastAsia" w:ascii="仿宋_GB2312" w:hAnsi="Times New Roman" w:eastAsia="仿宋_GB2312" w:cs="Times New Roman"/>
          <w:spacing w:val="-6"/>
          <w:sz w:val="32"/>
          <w:szCs w:val="32"/>
        </w:rPr>
        <w:t>选聘的区政府法律顾问建议人选名单</w:t>
      </w:r>
      <w:bookmarkEnd w:id="1"/>
      <w:r>
        <w:rPr>
          <w:rFonts w:hint="eastAsia" w:ascii="仿宋_GB2312" w:hAnsi="Times New Roman" w:eastAsia="仿宋_GB2312" w:cs="Times New Roman"/>
          <w:spacing w:val="-6"/>
          <w:sz w:val="32"/>
          <w:szCs w:val="32"/>
        </w:rPr>
        <w:t>向社会公示，公示无异议或异议不成立的，报区政府决定</w:t>
      </w:r>
      <w:r>
        <w:rPr>
          <w:rFonts w:hint="eastAsia" w:ascii="仿宋_GB2312" w:hAnsi="Times New Roman" w:eastAsia="仿宋_GB2312" w:cs="Times New Roman"/>
          <w:sz w:val="32"/>
          <w:szCs w:val="32"/>
        </w:rPr>
        <w:t>。</w:t>
      </w:r>
    </w:p>
    <w:p w14:paraId="1F248FC9">
      <w:pPr>
        <w:pStyle w:val="15"/>
        <w:spacing w:before="0" w:beforeAutospacing="0" w:after="0" w:afterAutospacing="0" w:line="600" w:lineRule="atLeast"/>
        <w:ind w:firstLine="640"/>
        <w:jc w:val="both"/>
        <w:rPr>
          <w:rFonts w:ascii="等线" w:eastAsia="等线"/>
          <w:sz w:val="21"/>
          <w:szCs w:val="21"/>
        </w:rPr>
      </w:pPr>
      <w:r>
        <w:rPr>
          <w:rFonts w:ascii="仿宋_GB2312" w:hAnsi="Times New Roman" w:eastAsia="仿宋_GB2312" w:cs="Times New Roman"/>
          <w:sz w:val="32"/>
          <w:szCs w:val="32"/>
        </w:rPr>
        <w:t>（五）签订合同。区政府</w:t>
      </w:r>
      <w:r>
        <w:rPr>
          <w:rFonts w:hint="eastAsia" w:ascii="仿宋_GB2312" w:hAnsi="Times New Roman" w:eastAsia="仿宋_GB2312" w:cs="Times New Roman"/>
          <w:sz w:val="32"/>
          <w:szCs w:val="32"/>
        </w:rPr>
        <w:t>授权区司法局</w:t>
      </w:r>
      <w:r>
        <w:rPr>
          <w:rFonts w:ascii="仿宋_GB2312" w:hAnsi="Times New Roman" w:eastAsia="仿宋_GB2312" w:cs="Times New Roman"/>
          <w:sz w:val="32"/>
          <w:szCs w:val="32"/>
        </w:rPr>
        <w:t>与区政府法律顾问</w:t>
      </w:r>
      <w:r>
        <w:rPr>
          <w:rFonts w:hint="eastAsia" w:ascii="仿宋_GB2312" w:hAnsi="Times New Roman" w:eastAsia="仿宋_GB2312" w:cs="Times New Roman"/>
          <w:sz w:val="32"/>
          <w:szCs w:val="32"/>
        </w:rPr>
        <w:t>所在的律师事务所</w:t>
      </w:r>
      <w:r>
        <w:rPr>
          <w:rFonts w:ascii="仿宋_GB2312" w:hAnsi="Times New Roman" w:eastAsia="仿宋_GB2312" w:cs="Times New Roman"/>
          <w:sz w:val="32"/>
          <w:szCs w:val="32"/>
        </w:rPr>
        <w:t>签订法律顾问服务合同</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合同须明确载明区政府法律顾问的服务范围、双方权利义务、保密要求、服务方式、聘用期限、费用结算、违约责任、解聘情形、争议解决等内容。</w:t>
      </w:r>
    </w:p>
    <w:p w14:paraId="0CA82A5F">
      <w:pPr>
        <w:pStyle w:val="15"/>
        <w:spacing w:before="0" w:beforeAutospacing="0" w:after="0" w:afterAutospacing="0" w:line="600" w:lineRule="atLeast"/>
        <w:ind w:firstLine="640"/>
        <w:jc w:val="both"/>
        <w:rPr>
          <w:rFonts w:ascii="等线" w:eastAsia="等线"/>
          <w:sz w:val="21"/>
          <w:szCs w:val="21"/>
        </w:rPr>
      </w:pPr>
      <w:r>
        <w:rPr>
          <w:rFonts w:ascii="仿宋_GB2312" w:hAnsi="Times New Roman" w:eastAsia="仿宋_GB2312" w:cs="Times New Roman"/>
          <w:sz w:val="32"/>
          <w:szCs w:val="32"/>
        </w:rPr>
        <w:t>（六）公布。区政府法律顾问名单由区政府对外公布。</w:t>
      </w:r>
    </w:p>
    <w:p w14:paraId="1059096E">
      <w:pPr>
        <w:pStyle w:val="15"/>
        <w:spacing w:before="0" w:beforeAutospacing="0" w:after="0" w:afterAutospacing="0" w:line="610" w:lineRule="atLeast"/>
        <w:ind w:firstLine="640"/>
        <w:jc w:val="both"/>
        <w:rPr>
          <w:rFonts w:ascii="等线" w:eastAsia="等线"/>
          <w:sz w:val="21"/>
          <w:szCs w:val="21"/>
        </w:rPr>
      </w:pPr>
      <w:r>
        <w:rPr>
          <w:rFonts w:ascii="黑体" w:hAnsi="黑体" w:eastAsia="黑体" w:cs="Times New Roman"/>
          <w:sz w:val="32"/>
          <w:szCs w:val="32"/>
        </w:rPr>
        <w:t>第十</w:t>
      </w:r>
      <w:r>
        <w:rPr>
          <w:rFonts w:hint="eastAsia" w:ascii="黑体" w:hAnsi="黑体" w:eastAsia="黑体" w:cs="Times New Roman"/>
          <w:sz w:val="32"/>
          <w:szCs w:val="32"/>
        </w:rPr>
        <w:t>一</w:t>
      </w:r>
      <w:r>
        <w:rPr>
          <w:rFonts w:ascii="黑体" w:hAnsi="黑体" w:eastAsia="黑体" w:cs="Times New Roman"/>
          <w:sz w:val="32"/>
          <w:szCs w:val="32"/>
        </w:rPr>
        <w:t>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区政府法律顾问每届聘期</w:t>
      </w:r>
      <w:r>
        <w:rPr>
          <w:rFonts w:ascii="Times New Roman" w:hAnsi="Times New Roman" w:eastAsia="等线" w:cs="Times New Roman"/>
          <w:sz w:val="32"/>
          <w:szCs w:val="32"/>
        </w:rPr>
        <w:t>3</w:t>
      </w:r>
      <w:r>
        <w:rPr>
          <w:rFonts w:ascii="仿宋_GB2312" w:hAnsi="Times New Roman" w:eastAsia="仿宋_GB2312" w:cs="Times New Roman"/>
          <w:sz w:val="32"/>
          <w:szCs w:val="32"/>
        </w:rPr>
        <w:t>年，期满可以续聘</w:t>
      </w:r>
      <w:r>
        <w:rPr>
          <w:rFonts w:hint="eastAsia" w:ascii="仿宋_GB2312" w:hAnsi="Times New Roman" w:eastAsia="仿宋_GB2312" w:cs="Times New Roman"/>
          <w:sz w:val="32"/>
          <w:szCs w:val="32"/>
        </w:rPr>
        <w:t>，原则上连续聘任不得超过三届</w:t>
      </w:r>
      <w:r>
        <w:rPr>
          <w:rFonts w:ascii="仿宋_GB2312" w:hAnsi="Times New Roman" w:eastAsia="仿宋_GB2312" w:cs="Times New Roman"/>
          <w:sz w:val="32"/>
          <w:szCs w:val="32"/>
        </w:rPr>
        <w:t>。换届时应当按照一定比例对前一届律师法律顾问适当更新。</w:t>
      </w:r>
    </w:p>
    <w:p w14:paraId="30125ED7">
      <w:pPr>
        <w:pStyle w:val="15"/>
        <w:spacing w:before="0" w:beforeAutospacing="0" w:after="0" w:afterAutospacing="0" w:line="610" w:lineRule="atLeast"/>
        <w:jc w:val="center"/>
        <w:rPr>
          <w:rFonts w:ascii="等线" w:eastAsia="等线"/>
          <w:sz w:val="21"/>
          <w:szCs w:val="21"/>
        </w:rPr>
      </w:pPr>
      <w:r>
        <w:rPr>
          <w:rFonts w:hint="eastAsia" w:ascii="等线" w:eastAsia="等线"/>
          <w:sz w:val="21"/>
          <w:szCs w:val="21"/>
        </w:rPr>
        <w:t> </w:t>
      </w:r>
    </w:p>
    <w:p w14:paraId="5171A473">
      <w:pPr>
        <w:pStyle w:val="15"/>
        <w:spacing w:before="0" w:beforeAutospacing="0" w:after="0" w:afterAutospacing="0" w:line="610" w:lineRule="atLeast"/>
        <w:jc w:val="center"/>
        <w:rPr>
          <w:rFonts w:ascii="等线" w:eastAsia="黑体"/>
          <w:sz w:val="21"/>
          <w:szCs w:val="21"/>
        </w:rPr>
      </w:pPr>
      <w:r>
        <w:rPr>
          <w:rFonts w:hint="eastAsia" w:ascii="黑体" w:hAnsi="黑体" w:eastAsia="黑体"/>
          <w:sz w:val="32"/>
          <w:szCs w:val="32"/>
        </w:rPr>
        <w:t>第三章  </w:t>
      </w:r>
      <w:r>
        <w:rPr>
          <w:rFonts w:hint="eastAsia" w:ascii="黑体" w:hAnsi="黑体" w:eastAsia="黑体" w:cs="Times New Roman"/>
          <w:sz w:val="32"/>
          <w:szCs w:val="32"/>
        </w:rPr>
        <w:t>工作机制</w:t>
      </w:r>
    </w:p>
    <w:p w14:paraId="238A490B">
      <w:pPr>
        <w:pStyle w:val="15"/>
        <w:spacing w:before="0" w:beforeAutospacing="0" w:after="0" w:afterAutospacing="0" w:line="610" w:lineRule="atLeast"/>
        <w:jc w:val="both"/>
        <w:rPr>
          <w:rFonts w:ascii="等线" w:eastAsia="等线"/>
          <w:sz w:val="21"/>
          <w:szCs w:val="21"/>
        </w:rPr>
      </w:pPr>
      <w:r>
        <w:rPr>
          <w:rFonts w:hint="eastAsia" w:ascii="等线" w:eastAsia="等线"/>
          <w:sz w:val="21"/>
          <w:szCs w:val="21"/>
        </w:rPr>
        <w:t> </w:t>
      </w:r>
    </w:p>
    <w:p w14:paraId="545AB16A">
      <w:pPr>
        <w:pStyle w:val="15"/>
        <w:spacing w:before="0" w:beforeAutospacing="0" w:after="0" w:afterAutospacing="0" w:line="610" w:lineRule="atLeast"/>
        <w:ind w:firstLine="640"/>
        <w:jc w:val="both"/>
        <w:rPr>
          <w:rFonts w:ascii="等线" w:eastAsia="等线"/>
          <w:sz w:val="21"/>
          <w:szCs w:val="21"/>
        </w:rPr>
      </w:pPr>
      <w:r>
        <w:rPr>
          <w:rFonts w:ascii="黑体" w:hAnsi="黑体" w:eastAsia="黑体" w:cs="Times New Roman"/>
          <w:sz w:val="32"/>
          <w:szCs w:val="32"/>
        </w:rPr>
        <w:t>第十</w:t>
      </w:r>
      <w:r>
        <w:rPr>
          <w:rFonts w:hint="eastAsia" w:ascii="黑体" w:hAnsi="黑体" w:eastAsia="黑体" w:cs="Times New Roman"/>
          <w:sz w:val="32"/>
          <w:szCs w:val="32"/>
        </w:rPr>
        <w:t>二</w:t>
      </w:r>
      <w:r>
        <w:rPr>
          <w:rFonts w:ascii="黑体" w:hAnsi="黑体" w:eastAsia="黑体" w:cs="Times New Roman"/>
          <w:sz w:val="32"/>
          <w:szCs w:val="32"/>
        </w:rPr>
        <w:t>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区司法局以集体名义发挥区政府法律顾问作用，组织区政府法律顾问参与办理涉及法律事务的区政府工作事项。</w:t>
      </w:r>
    </w:p>
    <w:p w14:paraId="7AC56D1D">
      <w:pPr>
        <w:pStyle w:val="15"/>
        <w:spacing w:before="0" w:beforeAutospacing="0" w:after="0" w:afterAutospacing="0" w:line="610" w:lineRule="atLeast"/>
        <w:ind w:firstLine="640"/>
        <w:jc w:val="both"/>
        <w:rPr>
          <w:rFonts w:ascii="等线" w:eastAsia="等线"/>
          <w:sz w:val="21"/>
          <w:szCs w:val="21"/>
        </w:rPr>
      </w:pPr>
      <w:r>
        <w:rPr>
          <w:rFonts w:ascii="黑体" w:hAnsi="黑体" w:eastAsia="黑体" w:cs="Times New Roman"/>
          <w:sz w:val="32"/>
          <w:szCs w:val="32"/>
        </w:rPr>
        <w:t>第十</w:t>
      </w:r>
      <w:r>
        <w:rPr>
          <w:rFonts w:hint="eastAsia" w:ascii="黑体" w:hAnsi="黑体" w:eastAsia="黑体" w:cs="Times New Roman"/>
          <w:sz w:val="32"/>
          <w:szCs w:val="32"/>
        </w:rPr>
        <w:t>三</w:t>
      </w:r>
      <w:r>
        <w:rPr>
          <w:rFonts w:ascii="黑体" w:hAnsi="黑体" w:eastAsia="黑体" w:cs="Times New Roman"/>
          <w:sz w:val="32"/>
          <w:szCs w:val="32"/>
        </w:rPr>
        <w:t>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区政府法律顾问</w:t>
      </w:r>
      <w:r>
        <w:rPr>
          <w:rFonts w:hint="eastAsia" w:ascii="仿宋_GB2312" w:hAnsi="Times New Roman" w:eastAsia="仿宋_GB2312" w:cs="Times New Roman"/>
          <w:sz w:val="32"/>
          <w:szCs w:val="32"/>
        </w:rPr>
        <w:t>根据工作安排，履行下列职责</w:t>
      </w:r>
      <w:r>
        <w:rPr>
          <w:rFonts w:ascii="仿宋_GB2312" w:hAnsi="Times New Roman" w:eastAsia="仿宋_GB2312" w:cs="Times New Roman"/>
          <w:sz w:val="32"/>
          <w:szCs w:val="32"/>
        </w:rPr>
        <w:t>：</w:t>
      </w:r>
    </w:p>
    <w:p w14:paraId="4DECF05A">
      <w:pPr>
        <w:widowControl/>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仿宋_GB2312" w:eastAsia="仿宋_GB2312"/>
          <w:sz w:val="32"/>
          <w:szCs w:val="32"/>
        </w:rPr>
        <w:t>（一）</w:t>
      </w:r>
      <w:r>
        <w:rPr>
          <w:rFonts w:hint="eastAsia" w:ascii="Times New Roman" w:hAnsi="Times New Roman" w:eastAsia="仿宋_GB2312" w:cs="Times New Roman"/>
          <w:sz w:val="32"/>
          <w:szCs w:val="32"/>
        </w:rPr>
        <w:t>为区政府重大行政决策、重要行政行为进行法律风险评估，提供法律意见和建议；</w:t>
      </w:r>
    </w:p>
    <w:p w14:paraId="22094BF5">
      <w:pPr>
        <w:widowControl/>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仿宋_GB2312" w:eastAsia="仿宋_GB2312"/>
          <w:sz w:val="32"/>
          <w:szCs w:val="32"/>
        </w:rPr>
        <w:t>（二）</w:t>
      </w:r>
      <w:r>
        <w:rPr>
          <w:rFonts w:hint="eastAsia" w:ascii="Times New Roman" w:hAnsi="Times New Roman" w:eastAsia="仿宋_GB2312" w:cs="Times New Roman"/>
          <w:sz w:val="32"/>
          <w:szCs w:val="32"/>
        </w:rPr>
        <w:t>为区政府行政规范性文件制定、审查提供法律意见和建议；</w:t>
      </w:r>
    </w:p>
    <w:p w14:paraId="645C82CA">
      <w:pPr>
        <w:widowControl/>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仿宋_GB2312" w:eastAsia="仿宋_GB2312"/>
          <w:sz w:val="32"/>
          <w:szCs w:val="32"/>
        </w:rPr>
        <w:t>（三）</w:t>
      </w:r>
      <w:r>
        <w:rPr>
          <w:rFonts w:hint="eastAsia" w:ascii="Times New Roman" w:hAnsi="Times New Roman" w:eastAsia="仿宋_GB2312" w:cs="Times New Roman"/>
          <w:sz w:val="32"/>
          <w:szCs w:val="32"/>
        </w:rPr>
        <w:t>参与涉及区政府的重大行政复议、行政诉讼案件处理，代理诉讼、仲裁、执行以及非诉讼法律事务；</w:t>
      </w:r>
    </w:p>
    <w:p w14:paraId="0DC91121">
      <w:pPr>
        <w:widowControl/>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仿宋_GB2312" w:eastAsia="仿宋_GB2312"/>
          <w:sz w:val="32"/>
          <w:szCs w:val="32"/>
        </w:rPr>
        <w:t>（四）参</w:t>
      </w:r>
      <w:r>
        <w:rPr>
          <w:rFonts w:hint="eastAsia" w:ascii="Times New Roman" w:hAnsi="Times New Roman" w:eastAsia="仿宋_GB2312" w:cs="Times New Roman"/>
          <w:sz w:val="32"/>
          <w:szCs w:val="32"/>
        </w:rPr>
        <w:t>与重大项目的洽谈，协助草拟、修改、审查重要法律文书和以区政府为一方当事人的重大合同；</w:t>
      </w:r>
    </w:p>
    <w:p w14:paraId="229FFC83">
      <w:pPr>
        <w:widowControl/>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仿宋_GB2312" w:eastAsia="仿宋_GB2312"/>
          <w:sz w:val="32"/>
          <w:szCs w:val="32"/>
        </w:rPr>
        <w:t>（五）</w:t>
      </w:r>
      <w:r>
        <w:rPr>
          <w:rFonts w:hint="eastAsia" w:ascii="Times New Roman" w:hAnsi="Times New Roman" w:eastAsia="仿宋_GB2312" w:cs="Times New Roman"/>
          <w:sz w:val="32"/>
          <w:szCs w:val="32"/>
        </w:rPr>
        <w:t>陪同区领导接访下访，参与处理重大突发性、群体性事件，对涉及我区的社会公共事件提供法律意见和建议；</w:t>
      </w:r>
    </w:p>
    <w:p w14:paraId="45C07555">
      <w:pPr>
        <w:widowControl/>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仿宋_GB2312" w:eastAsia="仿宋_GB2312"/>
          <w:sz w:val="32"/>
          <w:szCs w:val="32"/>
        </w:rPr>
        <w:t>（六）</w:t>
      </w:r>
      <w:r>
        <w:rPr>
          <w:rFonts w:hint="eastAsia" w:ascii="Times New Roman" w:hAnsi="Times New Roman" w:eastAsia="仿宋_GB2312" w:cs="Times New Roman"/>
          <w:sz w:val="32"/>
          <w:szCs w:val="32"/>
        </w:rPr>
        <w:t>就法治政府建设中的典型经验、普遍性问题进行调研，形成研究报告；</w:t>
      </w:r>
    </w:p>
    <w:p w14:paraId="34A83D15">
      <w:pPr>
        <w:pStyle w:val="15"/>
        <w:spacing w:before="0" w:beforeAutospacing="0" w:after="0" w:afterAutospacing="0" w:line="610" w:lineRule="atLeast"/>
        <w:ind w:firstLine="640"/>
        <w:jc w:val="both"/>
        <w:rPr>
          <w:rFonts w:ascii="等线" w:eastAsia="等线"/>
          <w:sz w:val="21"/>
          <w:szCs w:val="21"/>
        </w:rPr>
      </w:pPr>
      <w:r>
        <w:rPr>
          <w:rFonts w:hint="eastAsia" w:ascii="仿宋_GB2312" w:eastAsia="仿宋_GB2312"/>
          <w:sz w:val="32"/>
          <w:szCs w:val="32"/>
        </w:rPr>
        <w:t>（七）</w:t>
      </w:r>
      <w:r>
        <w:rPr>
          <w:rFonts w:hint="eastAsia" w:ascii="Times New Roman" w:hAnsi="Times New Roman" w:eastAsia="仿宋_GB2312" w:cs="Times New Roman"/>
          <w:sz w:val="32"/>
          <w:szCs w:val="32"/>
        </w:rPr>
        <w:t>办理需要区政府法律顾问参与的其他事务。</w:t>
      </w:r>
    </w:p>
    <w:p w14:paraId="5C27B971">
      <w:pPr>
        <w:adjustRightInd w:val="0"/>
        <w:snapToGrid w:val="0"/>
        <w:spacing w:line="600" w:lineRule="exact"/>
        <w:ind w:firstLine="640" w:firstLineChars="200"/>
        <w:rPr>
          <w:rFonts w:ascii="等线" w:eastAsia="等线"/>
          <w:szCs w:val="21"/>
        </w:rPr>
      </w:pPr>
      <w:r>
        <w:rPr>
          <w:rFonts w:hint="eastAsia" w:ascii="黑体" w:hAnsi="黑体" w:eastAsia="黑体" w:cs="Times New Roman"/>
          <w:sz w:val="32"/>
          <w:szCs w:val="32"/>
        </w:rPr>
        <w:t>第十四条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区政府法律顾问在聘期内享有下列权利：</w:t>
      </w:r>
    </w:p>
    <w:p w14:paraId="732BCC25">
      <w:pPr>
        <w:adjustRightInd w:val="0"/>
        <w:snapToGrid w:val="0"/>
        <w:spacing w:line="600" w:lineRule="exact"/>
        <w:ind w:firstLine="640" w:firstLineChars="200"/>
        <w:rPr>
          <w:rFonts w:ascii="等线" w:eastAsia="等线"/>
          <w:szCs w:val="21"/>
        </w:rPr>
      </w:pPr>
      <w:r>
        <w:rPr>
          <w:rFonts w:ascii="仿宋_GB2312" w:hAnsi="Times New Roman" w:eastAsia="仿宋_GB2312" w:cs="Times New Roman"/>
          <w:sz w:val="32"/>
          <w:szCs w:val="32"/>
        </w:rPr>
        <w:t>（一）独立提出法律意见，不受任何单位和个人的干涉；</w:t>
      </w:r>
    </w:p>
    <w:p w14:paraId="2FA00CE1">
      <w:pPr>
        <w:pStyle w:val="15"/>
        <w:spacing w:before="0" w:beforeAutospacing="0" w:after="0" w:afterAutospacing="0" w:line="600" w:lineRule="atLeast"/>
        <w:ind w:firstLine="640"/>
        <w:jc w:val="both"/>
        <w:rPr>
          <w:rFonts w:ascii="等线" w:eastAsia="等线"/>
          <w:sz w:val="21"/>
          <w:szCs w:val="21"/>
        </w:rPr>
      </w:pPr>
      <w:r>
        <w:rPr>
          <w:rFonts w:ascii="仿宋_GB2312" w:hAnsi="Times New Roman" w:eastAsia="仿宋_GB2312" w:cs="Times New Roman"/>
          <w:sz w:val="32"/>
          <w:szCs w:val="32"/>
        </w:rPr>
        <w:t>（二）根据工作需要，经区政府授权或同意查阅相关文献资料，获得开展区政府法律顾问工作必需的其他工作条件和便利；</w:t>
      </w:r>
    </w:p>
    <w:p w14:paraId="7F7CF407">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ascii="仿宋_GB2312" w:hAnsi="Times New Roman" w:eastAsia="仿宋_GB2312" w:cs="Times New Roman"/>
          <w:sz w:val="32"/>
          <w:szCs w:val="32"/>
        </w:rPr>
        <w:t>（三）应邀参加或列席有关调研、论证、会议，参与有关事项的调查研究；</w:t>
      </w:r>
    </w:p>
    <w:p w14:paraId="6645415B">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（四）对事关全区经济社会发展的重大涉法问题，可以向区政府提出书面意见和建议；</w:t>
      </w:r>
    </w:p>
    <w:p w14:paraId="6BC2E7AE">
      <w:pPr>
        <w:pStyle w:val="15"/>
        <w:spacing w:before="0" w:beforeAutospacing="0" w:after="0" w:afterAutospacing="0" w:line="600" w:lineRule="atLeast"/>
        <w:ind w:firstLine="640"/>
        <w:jc w:val="both"/>
        <w:rPr>
          <w:rFonts w:ascii="等线" w:eastAsia="等线"/>
          <w:sz w:val="21"/>
          <w:szCs w:val="21"/>
        </w:rPr>
      </w:pP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五</w:t>
      </w:r>
      <w:r>
        <w:rPr>
          <w:rFonts w:ascii="仿宋_GB2312" w:hAnsi="Times New Roman" w:eastAsia="仿宋_GB2312" w:cs="Times New Roman"/>
          <w:sz w:val="32"/>
          <w:szCs w:val="32"/>
        </w:rPr>
        <w:t>）获得约定的工作报酬；</w:t>
      </w:r>
    </w:p>
    <w:p w14:paraId="223DD0E4">
      <w:pPr>
        <w:pStyle w:val="15"/>
        <w:spacing w:before="0" w:beforeAutospacing="0" w:after="0" w:afterAutospacing="0" w:line="600" w:lineRule="atLeast"/>
        <w:ind w:firstLine="640"/>
        <w:jc w:val="both"/>
        <w:rPr>
          <w:rFonts w:ascii="等线" w:eastAsia="等线"/>
          <w:sz w:val="21"/>
          <w:szCs w:val="21"/>
        </w:rPr>
      </w:pP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六</w:t>
      </w:r>
      <w:r>
        <w:rPr>
          <w:rFonts w:ascii="仿宋_GB2312" w:hAnsi="Times New Roman" w:eastAsia="仿宋_GB2312" w:cs="Times New Roman"/>
          <w:sz w:val="32"/>
          <w:szCs w:val="32"/>
        </w:rPr>
        <w:t>）合同约定的其他权利。</w:t>
      </w:r>
    </w:p>
    <w:p w14:paraId="6BC1799D">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ascii="黑体" w:hAnsi="黑体" w:eastAsia="黑体" w:cs="Times New Roman"/>
          <w:sz w:val="32"/>
          <w:szCs w:val="32"/>
        </w:rPr>
        <w:t>第十</w:t>
      </w:r>
      <w:r>
        <w:rPr>
          <w:rFonts w:hint="eastAsia" w:ascii="黑体" w:hAnsi="黑体" w:eastAsia="黑体" w:cs="Times New Roman"/>
          <w:sz w:val="32"/>
          <w:szCs w:val="32"/>
        </w:rPr>
        <w:t>五</w:t>
      </w:r>
      <w:r>
        <w:rPr>
          <w:rFonts w:ascii="黑体" w:hAnsi="黑体" w:eastAsia="黑体" w:cs="Times New Roman"/>
          <w:sz w:val="32"/>
          <w:szCs w:val="32"/>
        </w:rPr>
        <w:t>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区政府法律顾问</w:t>
      </w:r>
      <w:r>
        <w:rPr>
          <w:rFonts w:hint="eastAsia" w:ascii="仿宋_GB2312" w:hAnsi="Times New Roman" w:eastAsia="仿宋_GB2312" w:cs="Times New Roman"/>
          <w:sz w:val="32"/>
          <w:szCs w:val="32"/>
        </w:rPr>
        <w:t>在聘期内履行下列义务</w:t>
      </w:r>
      <w:r>
        <w:rPr>
          <w:rFonts w:ascii="仿宋_GB2312" w:hAnsi="Times New Roman" w:eastAsia="仿宋_GB2312" w:cs="Times New Roman"/>
          <w:sz w:val="32"/>
          <w:szCs w:val="32"/>
        </w:rPr>
        <w:t>：</w:t>
      </w:r>
    </w:p>
    <w:p w14:paraId="623DC68C">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（一）勤勉尽职，</w:t>
      </w:r>
      <w:bookmarkStart w:id="2" w:name="OLE_LINK13"/>
      <w:r>
        <w:rPr>
          <w:rFonts w:hint="eastAsia" w:ascii="仿宋_GB2312" w:hAnsi="Times New Roman" w:eastAsia="仿宋_GB2312" w:cs="Times New Roman"/>
          <w:sz w:val="32"/>
          <w:szCs w:val="32"/>
        </w:rPr>
        <w:t>根据工作安排全面、及时、准确提供法律服务</w:t>
      </w:r>
      <w:bookmarkEnd w:id="2"/>
      <w:r>
        <w:rPr>
          <w:rFonts w:hint="eastAsia" w:ascii="仿宋_GB2312" w:hAnsi="Times New Roman" w:eastAsia="仿宋_GB2312" w:cs="Times New Roman"/>
          <w:sz w:val="32"/>
          <w:szCs w:val="32"/>
        </w:rPr>
        <w:t>；</w:t>
      </w:r>
    </w:p>
    <w:p w14:paraId="610A20D7">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w:t>
      </w:r>
      <w:r>
        <w:rPr>
          <w:rFonts w:ascii="仿宋_GB2312" w:hAnsi="Times New Roman" w:eastAsia="仿宋_GB2312" w:cs="Times New Roman"/>
          <w:sz w:val="32"/>
          <w:szCs w:val="32"/>
        </w:rPr>
        <w:t>遵守保密制度，</w:t>
      </w:r>
      <w:r>
        <w:rPr>
          <w:rFonts w:hint="eastAsia" w:ascii="仿宋_GB2312" w:hAnsi="Times New Roman" w:eastAsia="仿宋_GB2312" w:cs="Times New Roman"/>
          <w:sz w:val="32"/>
          <w:szCs w:val="32"/>
        </w:rPr>
        <w:t>不得泄露在办理区政府法律事务过程中知悉的国家秘密、商业秘密、个人隐私，以及区政府及其工作部门认为不宜对外公开的信息；</w:t>
      </w:r>
    </w:p>
    <w:p w14:paraId="1C219F6D">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（三）不得利用在履职过程中获得的非公开信息或者便利条件，为本人以及所在单位或者他人牟取利益；</w:t>
      </w:r>
    </w:p>
    <w:p w14:paraId="6FEAB81A">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（四）不得利用区政府法律顾问名义从事营利性活动；</w:t>
      </w:r>
    </w:p>
    <w:p w14:paraId="59472580">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（五）不得接受其他当事人委托，办理与区政府有利益冲突的法律事务，</w:t>
      </w:r>
      <w:r>
        <w:rPr>
          <w:rFonts w:ascii="仿宋_GB2312" w:hAnsi="Times New Roman" w:eastAsia="仿宋_GB2312" w:cs="Times New Roman"/>
          <w:sz w:val="32"/>
          <w:szCs w:val="32"/>
        </w:rPr>
        <w:t>区政府法律顾问与所承办的业务有利害关系、可能影响公正履行职责的，应当回避</w:t>
      </w:r>
      <w:r>
        <w:rPr>
          <w:rFonts w:hint="eastAsia" w:ascii="仿宋_GB2312" w:hAnsi="Times New Roman" w:eastAsia="仿宋_GB2312" w:cs="Times New Roman"/>
          <w:sz w:val="32"/>
          <w:szCs w:val="32"/>
        </w:rPr>
        <w:t>；</w:t>
      </w:r>
    </w:p>
    <w:p w14:paraId="5ACECD69">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（六）</w:t>
      </w:r>
      <w:bookmarkStart w:id="3" w:name="OLE_LINK17"/>
      <w:bookmarkStart w:id="4" w:name="OLE_LINK16"/>
      <w:r>
        <w:rPr>
          <w:rFonts w:ascii="仿宋_GB2312" w:hAnsi="Times New Roman" w:eastAsia="仿宋_GB2312" w:cs="Times New Roman"/>
          <w:sz w:val="32"/>
          <w:szCs w:val="32"/>
        </w:rPr>
        <w:t>未征得区政府同意，不得公开发表或者使用在履职过程中形成的工作成果</w:t>
      </w:r>
      <w:bookmarkEnd w:id="3"/>
      <w:bookmarkEnd w:id="4"/>
      <w:r>
        <w:rPr>
          <w:rFonts w:hint="eastAsia" w:ascii="仿宋_GB2312" w:hAnsi="Times New Roman" w:eastAsia="仿宋_GB2312" w:cs="Times New Roman"/>
          <w:sz w:val="32"/>
          <w:szCs w:val="32"/>
        </w:rPr>
        <w:t>；</w:t>
      </w:r>
    </w:p>
    <w:p w14:paraId="4664E9AC">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（七）</w:t>
      </w:r>
      <w:bookmarkStart w:id="5" w:name="OLE_LINK15"/>
      <w:bookmarkStart w:id="6" w:name="OLE_LINK14"/>
      <w:r>
        <w:rPr>
          <w:rFonts w:ascii="仿宋_GB2312" w:hAnsi="Times New Roman" w:eastAsia="仿宋_GB2312" w:cs="Times New Roman"/>
          <w:sz w:val="32"/>
          <w:szCs w:val="32"/>
        </w:rPr>
        <w:t>不得发表损害区政府或区政府法律顾问形象的言论，不得从事损害区政府利益或者形象的活动</w:t>
      </w:r>
      <w:bookmarkEnd w:id="5"/>
      <w:bookmarkEnd w:id="6"/>
      <w:r>
        <w:rPr>
          <w:rFonts w:hint="eastAsia" w:ascii="仿宋_GB2312" w:hAnsi="Times New Roman" w:eastAsia="仿宋_GB2312" w:cs="Times New Roman"/>
          <w:sz w:val="32"/>
          <w:szCs w:val="32"/>
        </w:rPr>
        <w:t>；</w:t>
      </w:r>
    </w:p>
    <w:p w14:paraId="4D7634FA">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（八）遵守相关法律、法规的规定。</w:t>
      </w:r>
    </w:p>
    <w:p w14:paraId="36268BC4">
      <w:pPr>
        <w:widowControl/>
        <w:spacing w:line="600" w:lineRule="exact"/>
        <w:ind w:firstLine="640" w:firstLineChars="200"/>
        <w:rPr>
          <w:rFonts w:ascii="仿宋_GB2312" w:hAnsi="Times New Roman" w:eastAsia="仿宋_GB2312" w:cs="Times New Roman"/>
          <w:kern w:val="0"/>
          <w:sz w:val="32"/>
          <w:szCs w:val="32"/>
        </w:rPr>
      </w:pPr>
      <w:r>
        <w:rPr>
          <w:rFonts w:hint="eastAsia" w:ascii="黑体" w:hAnsi="黑体" w:eastAsia="黑体" w:cs="Times New Roman"/>
          <w:kern w:val="0"/>
          <w:sz w:val="32"/>
          <w:szCs w:val="32"/>
        </w:rPr>
        <w:t>第十六条</w:t>
      </w:r>
      <w:r>
        <w:rPr>
          <w:rFonts w:ascii="黑体" w:hAnsi="黑体" w:eastAsia="黑体" w:cs="Times New Roman"/>
          <w:kern w:val="0"/>
          <w:sz w:val="32"/>
          <w:szCs w:val="32"/>
        </w:rPr>
        <w:t xml:space="preserve"> </w:t>
      </w:r>
      <w:r>
        <w:rPr>
          <w:rFonts w:hint="eastAsia" w:ascii="仿宋_GB2312" w:hAnsi="Times New Roman" w:eastAsia="仿宋_GB2312" w:cs="Times New Roman"/>
          <w:kern w:val="0"/>
          <w:sz w:val="32"/>
          <w:szCs w:val="32"/>
        </w:rPr>
        <w:t xml:space="preserve"> 区政府法律顾问有下列情形之一的，应当于情况发生后</w:t>
      </w:r>
      <w:r>
        <w:rPr>
          <w:rFonts w:ascii="仿宋_GB2312" w:hAnsi="Times New Roman" w:eastAsia="仿宋_GB2312" w:cs="Times New Roman"/>
          <w:kern w:val="0"/>
          <w:sz w:val="32"/>
          <w:szCs w:val="32"/>
        </w:rPr>
        <w:t>5</w:t>
      </w:r>
      <w:r>
        <w:rPr>
          <w:rFonts w:hint="eastAsia" w:ascii="仿宋_GB2312" w:hAnsi="Times New Roman" w:eastAsia="仿宋_GB2312" w:cs="Times New Roman"/>
          <w:kern w:val="0"/>
          <w:sz w:val="32"/>
          <w:szCs w:val="32"/>
        </w:rPr>
        <w:t>个工作日内向区司法局报告：</w:t>
      </w:r>
    </w:p>
    <w:p w14:paraId="0BFDB3F5">
      <w:pPr>
        <w:widowControl/>
        <w:spacing w:line="60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（一）个人工作单位、联系方式、经常居住地等信息变动情况；</w:t>
      </w:r>
    </w:p>
    <w:p w14:paraId="173A0AD8">
      <w:pPr>
        <w:widowControl/>
        <w:spacing w:line="60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（二）所在单位名称、地址、联系方式等信息变更情况以及单位组织结构、人员构成的重大变动情况；</w:t>
      </w:r>
    </w:p>
    <w:p w14:paraId="1D2479AB">
      <w:pPr>
        <w:widowControl/>
        <w:spacing w:line="60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（三）个人所受到的处分、行政处罚以及承担刑事责任的情况；</w:t>
      </w:r>
    </w:p>
    <w:p w14:paraId="3AAA5B88">
      <w:pPr>
        <w:widowControl/>
        <w:spacing w:line="60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（四）引起社会公众高度关注的有关言论、行为的具体情况说明。</w:t>
      </w:r>
    </w:p>
    <w:p w14:paraId="7E204F6E">
      <w:pPr>
        <w:widowControl/>
        <w:spacing w:line="600" w:lineRule="exact"/>
        <w:ind w:firstLine="640" w:firstLineChars="200"/>
        <w:rPr>
          <w:rFonts w:ascii="Times New Roman" w:hAnsi="Times New Roman" w:eastAsia="仿宋_GB2312"/>
          <w:kern w:val="0"/>
          <w:sz w:val="32"/>
          <w:szCs w:val="32"/>
          <w:lang w:bidi="ar"/>
        </w:rPr>
      </w:pPr>
      <w:r>
        <w:rPr>
          <w:rFonts w:hint="eastAsia" w:ascii="Times New Roman" w:hAnsi="Times New Roman" w:eastAsia="仿宋_GB2312"/>
          <w:kern w:val="0"/>
          <w:sz w:val="32"/>
          <w:szCs w:val="32"/>
          <w:lang w:bidi="ar"/>
        </w:rPr>
        <w:t>区司法局</w:t>
      </w:r>
      <w:r>
        <w:rPr>
          <w:rFonts w:ascii="Times New Roman" w:hAnsi="Times New Roman" w:eastAsia="仿宋_GB2312"/>
          <w:kern w:val="0"/>
          <w:sz w:val="32"/>
          <w:szCs w:val="32"/>
          <w:lang w:bidi="ar"/>
        </w:rPr>
        <w:t>可以根据实际需要，不定期要求</w:t>
      </w:r>
      <w:r>
        <w:rPr>
          <w:rFonts w:hint="eastAsia" w:ascii="Times New Roman" w:hAnsi="Times New Roman" w:eastAsia="仿宋_GB2312"/>
          <w:kern w:val="0"/>
          <w:sz w:val="32"/>
          <w:szCs w:val="32"/>
          <w:lang w:bidi="ar"/>
        </w:rPr>
        <w:t>区政府</w:t>
      </w:r>
      <w:r>
        <w:rPr>
          <w:rFonts w:ascii="Times New Roman" w:hAnsi="Times New Roman" w:eastAsia="仿宋_GB2312"/>
          <w:kern w:val="0"/>
          <w:sz w:val="32"/>
          <w:szCs w:val="32"/>
          <w:lang w:bidi="ar"/>
        </w:rPr>
        <w:t>法律顾问报告前款规定的有关情况。</w:t>
      </w:r>
    </w:p>
    <w:p w14:paraId="52571DB2">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黑体" w:hAnsi="黑体" w:eastAsia="黑体" w:cs="Times New Roman"/>
          <w:sz w:val="32"/>
          <w:szCs w:val="32"/>
        </w:rPr>
        <w:t xml:space="preserve">第十七条  </w:t>
      </w:r>
      <w:r>
        <w:rPr>
          <w:rFonts w:ascii="仿宋_GB2312" w:hAnsi="Times New Roman" w:eastAsia="仿宋_GB2312" w:cs="Times New Roman"/>
          <w:sz w:val="32"/>
          <w:szCs w:val="32"/>
        </w:rPr>
        <w:t>区政府法律顾问对区政府交办或委托的事项，应在规定时限内通过书面形式提供法律意见，并对其提供的法律意见负责。区政府要求出具法律意见书的，区政府法律顾问应当出具法律意见书并签名。紧急情况无法出具书面法律意见的，应当在发表口头意见后</w:t>
      </w:r>
      <w:r>
        <w:rPr>
          <w:rFonts w:ascii="Times New Roman" w:hAnsi="Times New Roman" w:eastAsia="等线" w:cs="Times New Roman"/>
          <w:sz w:val="32"/>
          <w:szCs w:val="32"/>
        </w:rPr>
        <w:t>3</w:t>
      </w:r>
      <w:r>
        <w:rPr>
          <w:rFonts w:ascii="仿宋_GB2312" w:hAnsi="Times New Roman" w:eastAsia="仿宋_GB2312" w:cs="Times New Roman"/>
          <w:sz w:val="32"/>
          <w:szCs w:val="32"/>
        </w:rPr>
        <w:t>个工作日内补充提供书面法律意见。</w:t>
      </w:r>
    </w:p>
    <w:p w14:paraId="63834E92">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区政府法律顾问应邀参加与履职相关工作会议的，应当按要求在记录其法律意见的相关会议记录、文件材料上签名。</w:t>
      </w:r>
    </w:p>
    <w:p w14:paraId="3DFAF8C1">
      <w:pPr>
        <w:pStyle w:val="15"/>
        <w:spacing w:before="0" w:beforeAutospacing="0" w:after="0" w:afterAutospacing="0" w:line="600" w:lineRule="atLeast"/>
        <w:ind w:firstLine="640"/>
        <w:jc w:val="both"/>
      </w:pPr>
      <w:r>
        <w:rPr>
          <w:rFonts w:ascii="黑体" w:hAnsi="黑体" w:eastAsia="黑体" w:cs="Times New Roman"/>
          <w:sz w:val="32"/>
          <w:szCs w:val="32"/>
        </w:rPr>
        <w:t>第</w:t>
      </w:r>
      <w:r>
        <w:rPr>
          <w:rFonts w:hint="eastAsia" w:ascii="黑体" w:hAnsi="黑体" w:eastAsia="黑体" w:cs="Times New Roman"/>
          <w:sz w:val="32"/>
          <w:szCs w:val="32"/>
        </w:rPr>
        <w:t>十八</w:t>
      </w:r>
      <w:r>
        <w:rPr>
          <w:rFonts w:ascii="黑体" w:hAnsi="黑体" w:eastAsia="黑体" w:cs="Times New Roman"/>
          <w:sz w:val="32"/>
          <w:szCs w:val="32"/>
        </w:rPr>
        <w:t>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在符合保密规定的前提下，可以采用电话、电子邮件、书面通知等方式委托区政府法律顾问参与办理相关法律事务。</w:t>
      </w:r>
    </w:p>
    <w:p w14:paraId="122AD212">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ascii="黑体" w:hAnsi="黑体" w:eastAsia="黑体" w:cs="Times New Roman"/>
          <w:sz w:val="32"/>
          <w:szCs w:val="32"/>
        </w:rPr>
        <w:t>第</w:t>
      </w:r>
      <w:r>
        <w:rPr>
          <w:rFonts w:hint="eastAsia" w:ascii="黑体" w:hAnsi="黑体" w:eastAsia="黑体" w:cs="Times New Roman"/>
          <w:sz w:val="32"/>
          <w:szCs w:val="32"/>
        </w:rPr>
        <w:t>十九</w:t>
      </w:r>
      <w:r>
        <w:rPr>
          <w:rFonts w:ascii="黑体" w:hAnsi="黑体" w:eastAsia="黑体" w:cs="Times New Roman"/>
          <w:sz w:val="32"/>
          <w:szCs w:val="32"/>
        </w:rPr>
        <w:t>条</w:t>
      </w:r>
      <w:r>
        <w:rPr>
          <w:rFonts w:ascii="仿宋_GB2312" w:hAnsi="Times New Roman" w:eastAsia="仿宋_GB2312" w:cs="Times New Roman"/>
          <w:sz w:val="32"/>
          <w:szCs w:val="32"/>
        </w:rPr>
        <w:t>  区政府法律顾问应当亲自办理所承接的法律事务，未经允许不得将该事务转委托给他人处理。</w:t>
      </w:r>
    </w:p>
    <w:p w14:paraId="33710E71">
      <w:pPr>
        <w:pStyle w:val="15"/>
        <w:spacing w:before="0" w:beforeAutospacing="0" w:after="0" w:afterAutospacing="0" w:line="600" w:lineRule="atLeast"/>
        <w:ind w:firstLine="640"/>
        <w:jc w:val="both"/>
        <w:rPr>
          <w:rFonts w:ascii="等线" w:eastAsia="等线"/>
          <w:sz w:val="21"/>
          <w:szCs w:val="21"/>
        </w:rPr>
      </w:pPr>
      <w:r>
        <w:rPr>
          <w:rFonts w:ascii="黑体" w:hAnsi="黑体" w:eastAsia="黑体" w:cs="Times New Roman"/>
          <w:sz w:val="32"/>
          <w:szCs w:val="32"/>
        </w:rPr>
        <w:t>第</w:t>
      </w:r>
      <w:r>
        <w:rPr>
          <w:rFonts w:hint="eastAsia" w:ascii="黑体" w:hAnsi="黑体" w:eastAsia="黑体" w:cs="Times New Roman"/>
          <w:sz w:val="32"/>
          <w:szCs w:val="32"/>
        </w:rPr>
        <w:t>二十</w:t>
      </w:r>
      <w:r>
        <w:rPr>
          <w:rFonts w:ascii="黑体" w:hAnsi="黑体" w:eastAsia="黑体" w:cs="Times New Roman"/>
          <w:sz w:val="32"/>
          <w:szCs w:val="32"/>
        </w:rPr>
        <w:t>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对于重大复杂法律事务，区政府可以根据工作需要，安排具有相应专业特长的区政府法律顾问提前</w:t>
      </w:r>
      <w:r>
        <w:rPr>
          <w:rFonts w:hint="eastAsia" w:ascii="仿宋_GB2312" w:hAnsi="Times New Roman" w:eastAsia="仿宋_GB2312" w:cs="Times New Roman"/>
          <w:sz w:val="32"/>
          <w:szCs w:val="32"/>
        </w:rPr>
        <w:t>参与</w:t>
      </w:r>
      <w:r>
        <w:rPr>
          <w:rFonts w:ascii="仿宋_GB2312" w:hAnsi="Times New Roman" w:eastAsia="仿宋_GB2312" w:cs="Times New Roman"/>
          <w:sz w:val="32"/>
          <w:szCs w:val="32"/>
        </w:rPr>
        <w:t>。</w:t>
      </w:r>
    </w:p>
    <w:p w14:paraId="4607EBC8">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ascii="黑体" w:hAnsi="黑体" w:eastAsia="黑体" w:cs="Times New Roman"/>
          <w:sz w:val="32"/>
          <w:szCs w:val="32"/>
        </w:rPr>
        <w:t>第二十</w:t>
      </w:r>
      <w:r>
        <w:rPr>
          <w:rFonts w:hint="eastAsia" w:ascii="黑体" w:hAnsi="黑体" w:eastAsia="黑体" w:cs="Times New Roman"/>
          <w:sz w:val="32"/>
          <w:szCs w:val="32"/>
        </w:rPr>
        <w:t>一</w:t>
      </w:r>
      <w:r>
        <w:rPr>
          <w:rFonts w:ascii="黑体" w:hAnsi="黑体" w:eastAsia="黑体" w:cs="Times New Roman"/>
          <w:sz w:val="32"/>
          <w:szCs w:val="32"/>
        </w:rPr>
        <w:t>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区政府法律顾问认为与所承办法律事务有利害关系可能影响公正履职的，或者具有法律、法规规定的其他应当回避情形的，应当主动申请回避。是否回避，由区司法局研究决定。</w:t>
      </w:r>
    </w:p>
    <w:p w14:paraId="77D144F4">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黑体" w:hAnsi="黑体" w:eastAsia="黑体" w:cs="Times New Roman"/>
          <w:sz w:val="32"/>
          <w:szCs w:val="32"/>
        </w:rPr>
        <w:t>第二十二条</w:t>
      </w:r>
      <w:r>
        <w:rPr>
          <w:rFonts w:hint="eastAsia" w:ascii="仿宋_GB2312" w:hAnsi="Times New Roman" w:eastAsia="仿宋_GB2312" w:cs="Times New Roman"/>
          <w:sz w:val="32"/>
          <w:szCs w:val="32"/>
        </w:rPr>
        <w:t xml:space="preserve"> 区政府法律顾问依照本办法办理涉及区政府法律事务需要有关单位或者个人配合的，有关单位或者个人应当依法予以协助。</w:t>
      </w:r>
    </w:p>
    <w:p w14:paraId="6205992D">
      <w:pPr>
        <w:pStyle w:val="15"/>
        <w:spacing w:before="0" w:beforeAutospacing="0" w:after="0" w:afterAutospacing="0" w:line="610" w:lineRule="atLeast"/>
        <w:jc w:val="center"/>
        <w:rPr>
          <w:rFonts w:ascii="等线" w:eastAsia="等线"/>
          <w:sz w:val="21"/>
          <w:szCs w:val="21"/>
        </w:rPr>
      </w:pPr>
      <w:r>
        <w:rPr>
          <w:rFonts w:hint="eastAsia" w:ascii="等线" w:eastAsia="等线"/>
          <w:sz w:val="21"/>
          <w:szCs w:val="21"/>
        </w:rPr>
        <w:t> </w:t>
      </w:r>
    </w:p>
    <w:p w14:paraId="7CF253CB">
      <w:pPr>
        <w:pStyle w:val="15"/>
        <w:spacing w:before="0" w:beforeAutospacing="0" w:after="0" w:afterAutospacing="0" w:line="610" w:lineRule="atLeast"/>
        <w:jc w:val="center"/>
        <w:rPr>
          <w:rFonts w:ascii="等线" w:eastAsia="黑体"/>
          <w:sz w:val="21"/>
          <w:szCs w:val="21"/>
        </w:rPr>
      </w:pPr>
      <w:r>
        <w:rPr>
          <w:rFonts w:hint="eastAsia" w:ascii="黑体" w:hAnsi="黑体" w:eastAsia="黑体"/>
          <w:sz w:val="32"/>
          <w:szCs w:val="32"/>
        </w:rPr>
        <w:t>第四章  </w:t>
      </w:r>
      <w:r>
        <w:rPr>
          <w:rFonts w:hint="eastAsia" w:ascii="黑体" w:hAnsi="黑体" w:eastAsia="黑体" w:cs="Times New Roman"/>
          <w:sz w:val="32"/>
          <w:szCs w:val="32"/>
        </w:rPr>
        <w:t>退出管理</w:t>
      </w:r>
    </w:p>
    <w:p w14:paraId="5B7ED380">
      <w:pPr>
        <w:pStyle w:val="15"/>
        <w:spacing w:before="0" w:beforeAutospacing="0" w:after="0" w:afterAutospacing="0" w:line="610" w:lineRule="atLeast"/>
        <w:jc w:val="both"/>
        <w:rPr>
          <w:rFonts w:ascii="等线" w:eastAsia="等线"/>
          <w:sz w:val="21"/>
          <w:szCs w:val="21"/>
        </w:rPr>
      </w:pPr>
      <w:r>
        <w:rPr>
          <w:rFonts w:hint="eastAsia" w:ascii="等线" w:eastAsia="等线"/>
          <w:sz w:val="21"/>
          <w:szCs w:val="21"/>
        </w:rPr>
        <w:t> </w:t>
      </w:r>
    </w:p>
    <w:p w14:paraId="6B7AB20A">
      <w:pPr>
        <w:pStyle w:val="15"/>
        <w:spacing w:before="0" w:beforeAutospacing="0" w:after="0" w:afterAutospacing="0" w:line="590" w:lineRule="atLeast"/>
        <w:ind w:firstLine="640"/>
        <w:jc w:val="both"/>
        <w:rPr>
          <w:rFonts w:ascii="等线" w:eastAsia="等线"/>
          <w:sz w:val="21"/>
          <w:szCs w:val="21"/>
        </w:rPr>
      </w:pPr>
      <w:r>
        <w:rPr>
          <w:rFonts w:hint="eastAsia" w:ascii="黑体" w:hAnsi="黑体" w:eastAsia="黑体" w:cs="Times New Roman"/>
          <w:sz w:val="32"/>
          <w:szCs w:val="32"/>
        </w:rPr>
        <w:t xml:space="preserve">第二十三条 </w:t>
      </w:r>
      <w:r>
        <w:rPr>
          <w:rFonts w:hint="eastAsia" w:ascii="仿宋_GB2312" w:hAnsi="Times New Roman" w:eastAsia="仿宋_GB2312" w:cs="Times New Roman"/>
          <w:sz w:val="32"/>
          <w:szCs w:val="32"/>
        </w:rPr>
        <w:t>区政府法律顾问有下列情形之一的，应当主动向区司法局申请退出：</w:t>
      </w:r>
    </w:p>
    <w:p w14:paraId="72BD8147">
      <w:pPr>
        <w:pStyle w:val="15"/>
        <w:spacing w:before="0" w:beforeAutospacing="0" w:after="0" w:afterAutospacing="0" w:line="590" w:lineRule="atLeast"/>
        <w:ind w:firstLine="640"/>
        <w:jc w:val="both"/>
        <w:rPr>
          <w:rFonts w:ascii="等线" w:eastAsia="等线"/>
          <w:sz w:val="21"/>
          <w:szCs w:val="21"/>
        </w:rPr>
      </w:pPr>
      <w:r>
        <w:rPr>
          <w:rFonts w:hint="eastAsia" w:ascii="仿宋_GB2312" w:hAnsi="Times New Roman" w:eastAsia="仿宋_GB2312" w:cs="Times New Roman"/>
          <w:sz w:val="32"/>
          <w:szCs w:val="32"/>
        </w:rPr>
        <w:t>（一）因工作调动、职务变动等原因，无法保证履职时间的；</w:t>
      </w:r>
    </w:p>
    <w:p w14:paraId="4C99E8F5">
      <w:pPr>
        <w:pStyle w:val="15"/>
        <w:spacing w:before="0" w:beforeAutospacing="0" w:after="0" w:afterAutospacing="0" w:line="590" w:lineRule="atLeast"/>
        <w:ind w:firstLine="640"/>
        <w:jc w:val="both"/>
        <w:rPr>
          <w:rFonts w:ascii="等线" w:eastAsia="等线"/>
          <w:sz w:val="21"/>
          <w:szCs w:val="21"/>
        </w:rPr>
      </w:pPr>
      <w:r>
        <w:rPr>
          <w:rFonts w:hint="eastAsia" w:ascii="仿宋_GB2312" w:hAnsi="Times New Roman" w:eastAsia="仿宋_GB2312" w:cs="Times New Roman"/>
          <w:sz w:val="32"/>
          <w:szCs w:val="32"/>
        </w:rPr>
        <w:t>（二）因健康原因无法正常履行职责的；</w:t>
      </w:r>
    </w:p>
    <w:p w14:paraId="1CED305E">
      <w:pPr>
        <w:pStyle w:val="15"/>
        <w:spacing w:before="0" w:beforeAutospacing="0" w:after="0" w:afterAutospacing="0" w:line="590" w:lineRule="atLeast"/>
        <w:ind w:firstLine="640"/>
        <w:jc w:val="both"/>
        <w:rPr>
          <w:rFonts w:ascii="等线" w:eastAsia="等线"/>
          <w:sz w:val="21"/>
          <w:szCs w:val="21"/>
        </w:rPr>
      </w:pPr>
      <w:r>
        <w:rPr>
          <w:rFonts w:hint="eastAsia" w:ascii="仿宋_GB2312" w:hAnsi="Times New Roman" w:eastAsia="仿宋_GB2312" w:cs="Times New Roman"/>
          <w:sz w:val="32"/>
          <w:szCs w:val="32"/>
        </w:rPr>
        <w:t>（三）本人申请辞任的；</w:t>
      </w:r>
    </w:p>
    <w:p w14:paraId="186EB3F7">
      <w:pPr>
        <w:pStyle w:val="15"/>
        <w:spacing w:before="0" w:beforeAutospacing="0" w:after="0" w:afterAutospacing="0" w:line="590" w:lineRule="atLeast"/>
        <w:ind w:firstLine="640"/>
        <w:jc w:val="both"/>
        <w:rPr>
          <w:rFonts w:ascii="等线" w:eastAsia="等线"/>
          <w:sz w:val="21"/>
          <w:szCs w:val="21"/>
        </w:rPr>
      </w:pPr>
      <w:r>
        <w:rPr>
          <w:rFonts w:hint="eastAsia" w:ascii="仿宋_GB2312" w:hAnsi="Times New Roman" w:eastAsia="仿宋_GB2312" w:cs="Times New Roman"/>
          <w:sz w:val="32"/>
          <w:szCs w:val="32"/>
        </w:rPr>
        <w:t>（四）其他无法继续履行职责的正当情形。</w:t>
      </w:r>
    </w:p>
    <w:p w14:paraId="43420118">
      <w:pPr>
        <w:pStyle w:val="15"/>
        <w:spacing w:before="0" w:beforeAutospacing="0" w:after="0" w:afterAutospacing="0" w:line="590" w:lineRule="atLeast"/>
        <w:ind w:firstLine="640"/>
        <w:jc w:val="both"/>
        <w:rPr>
          <w:rFonts w:ascii="等线" w:eastAsia="等线"/>
          <w:sz w:val="21"/>
          <w:szCs w:val="21"/>
        </w:rPr>
      </w:pPr>
      <w:r>
        <w:rPr>
          <w:rFonts w:hint="eastAsia" w:ascii="仿宋_GB2312" w:hAnsi="Times New Roman" w:eastAsia="仿宋_GB2312" w:cs="Times New Roman"/>
          <w:sz w:val="32"/>
          <w:szCs w:val="32"/>
        </w:rPr>
        <w:t>申请退出应当提交书面申请，说明理由并附相关证明材料。</w:t>
      </w:r>
    </w:p>
    <w:p w14:paraId="48EAE1D1">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黑体" w:hAnsi="黑体" w:eastAsia="黑体" w:cs="Times New Roman"/>
          <w:sz w:val="32"/>
          <w:szCs w:val="32"/>
        </w:rPr>
        <w:t>第二十四条</w:t>
      </w:r>
      <w:r>
        <w:rPr>
          <w:rFonts w:hint="eastAsia" w:ascii="仿宋_GB2312" w:hAnsi="Times New Roman" w:eastAsia="仿宋_GB2312" w:cs="Times New Roman"/>
          <w:sz w:val="32"/>
          <w:szCs w:val="32"/>
        </w:rPr>
        <w:t xml:space="preserve"> 区政府法律顾问在聘任期间有下列情形之一的，区司法局报请区政府决定中止区政府法律顾问资格：</w:t>
      </w:r>
    </w:p>
    <w:p w14:paraId="05B81C82">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（一）因涉嫌刑事犯罪被依法采取刑事强制措施的；</w:t>
      </w:r>
    </w:p>
    <w:p w14:paraId="6172935F">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（二）因言行不当造成严重不良社会影响，但调查结论尚未作出的；</w:t>
      </w:r>
    </w:p>
    <w:p w14:paraId="2FCB55C6">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（三）违反有关规定，被启动司法行政处罚程序的；</w:t>
      </w:r>
    </w:p>
    <w:p w14:paraId="03E4D28E">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（四）违反有关职业规范或者行业规定，被所在单位或者行业协会启动处分程序的。</w:t>
      </w:r>
    </w:p>
    <w:p w14:paraId="022F21D6">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区司法局应当及时跟踪掌握上述情形的后续处理情况，并根据处理结果决定恢复区政府法律顾问资格或者解除聘任关系。</w:t>
      </w:r>
    </w:p>
    <w:p w14:paraId="596FED76">
      <w:pPr>
        <w:pStyle w:val="15"/>
        <w:spacing w:before="0" w:beforeAutospacing="0" w:after="0" w:afterAutospacing="0" w:line="570" w:lineRule="atLeast"/>
        <w:ind w:firstLine="640"/>
        <w:jc w:val="both"/>
        <w:rPr>
          <w:rFonts w:ascii="仿宋_GB2312" w:hAnsi="Times New Roman" w:eastAsia="仿宋_GB2312" w:cs="Times New Roman"/>
          <w:sz w:val="32"/>
          <w:szCs w:val="32"/>
        </w:rPr>
      </w:pPr>
      <w:r>
        <w:rPr>
          <w:rFonts w:hint="eastAsia" w:ascii="等线" w:eastAsia="等线"/>
          <w:sz w:val="21"/>
          <w:szCs w:val="21"/>
        </w:rPr>
        <w:t> </w:t>
      </w:r>
      <w:r>
        <w:rPr>
          <w:rFonts w:ascii="黑体" w:hAnsi="黑体" w:eastAsia="黑体" w:cs="Times New Roman"/>
          <w:sz w:val="32"/>
          <w:szCs w:val="32"/>
        </w:rPr>
        <w:t>第</w:t>
      </w:r>
      <w:r>
        <w:rPr>
          <w:rFonts w:hint="eastAsia" w:ascii="黑体" w:hAnsi="黑体" w:eastAsia="黑体" w:cs="Times New Roman"/>
          <w:sz w:val="32"/>
          <w:szCs w:val="32"/>
        </w:rPr>
        <w:t>二十五</w:t>
      </w:r>
      <w:r>
        <w:rPr>
          <w:rFonts w:ascii="黑体" w:hAnsi="黑体" w:eastAsia="黑体" w:cs="Times New Roman"/>
          <w:sz w:val="32"/>
          <w:szCs w:val="32"/>
        </w:rPr>
        <w:t>条</w:t>
      </w:r>
      <w:r>
        <w:rPr>
          <w:rFonts w:hint="eastAsia" w:ascii="Times New Roman" w:hAnsi="Times New Roman" w:eastAsia="等线" w:cs="Times New Roman"/>
          <w:b/>
          <w:bCs/>
          <w:sz w:val="32"/>
          <w:szCs w:val="32"/>
        </w:rPr>
        <w:t xml:space="preserve"> </w:t>
      </w:r>
      <w:r>
        <w:rPr>
          <w:rFonts w:hint="eastAsia" w:ascii="仿宋_GB2312" w:hAnsi="Times New Roman" w:eastAsia="仿宋_GB2312" w:cs="Times New Roman"/>
          <w:sz w:val="32"/>
          <w:szCs w:val="32"/>
        </w:rPr>
        <w:t>区政府法律顾问在任期内有下列情形之一的，区司法局应当及时报请区政府解除聘任关系：</w:t>
      </w:r>
    </w:p>
    <w:p w14:paraId="3498EAFD">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（一）违反国家法律，被依法追究刑事责任或者处以限制人身自由等种类的行政处罚的；</w:t>
      </w:r>
    </w:p>
    <w:p w14:paraId="608B8D2D">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（二）受到司法行政处罚，或者因违反有关职业规范或者行业规定，被所在单位或者行业协会处分的；</w:t>
      </w:r>
    </w:p>
    <w:p w14:paraId="0E2AA323">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（三）个人言行损害政府法律顾问形象，产生严重不良社会影响的；</w:t>
      </w:r>
    </w:p>
    <w:p w14:paraId="7DBD72C6">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（四）违反本办法第十五条有关规定，情节严重的；</w:t>
      </w:r>
    </w:p>
    <w:p w14:paraId="39F1365F">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（五）年度考核中被确定为不合格的；</w:t>
      </w:r>
    </w:p>
    <w:p w14:paraId="5C53B539">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（六）有其他不宜继续担任区政府法律顾问情形的。</w:t>
      </w:r>
    </w:p>
    <w:p w14:paraId="5AEEAE67">
      <w:pPr>
        <w:pStyle w:val="15"/>
        <w:spacing w:before="0" w:beforeAutospacing="0" w:after="0" w:afterAutospacing="0" w:line="570" w:lineRule="atLeast"/>
        <w:ind w:firstLine="640"/>
        <w:jc w:val="both"/>
        <w:rPr>
          <w:rFonts w:ascii="等线" w:eastAsia="等线"/>
          <w:sz w:val="21"/>
          <w:szCs w:val="21"/>
        </w:rPr>
      </w:pPr>
      <w:r>
        <w:rPr>
          <w:rFonts w:ascii="黑体" w:hAnsi="黑体" w:eastAsia="黑体" w:cs="Times New Roman"/>
          <w:sz w:val="32"/>
          <w:szCs w:val="32"/>
        </w:rPr>
        <w:t>第</w:t>
      </w:r>
      <w:r>
        <w:rPr>
          <w:rFonts w:hint="eastAsia" w:ascii="黑体" w:hAnsi="黑体" w:eastAsia="黑体" w:cs="Times New Roman"/>
          <w:sz w:val="32"/>
          <w:szCs w:val="32"/>
        </w:rPr>
        <w:t>二十六</w:t>
      </w:r>
      <w:r>
        <w:rPr>
          <w:rFonts w:ascii="黑体" w:hAnsi="黑体" w:eastAsia="黑体" w:cs="Times New Roman"/>
          <w:sz w:val="32"/>
          <w:szCs w:val="32"/>
        </w:rPr>
        <w:t>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区司法局应当以书面形式将解聘通知告知区政府法律顾问，区政府法律顾问应当在收到通知后</w:t>
      </w:r>
      <w:r>
        <w:rPr>
          <w:rFonts w:ascii="Times New Roman" w:hAnsi="Times New Roman" w:eastAsia="等线" w:cs="Times New Roman"/>
          <w:sz w:val="32"/>
          <w:szCs w:val="32"/>
        </w:rPr>
        <w:t>5</w:t>
      </w:r>
      <w:r>
        <w:rPr>
          <w:rFonts w:ascii="仿宋_GB2312" w:hAnsi="Times New Roman" w:eastAsia="仿宋_GB2312" w:cs="Times New Roman"/>
          <w:sz w:val="32"/>
          <w:szCs w:val="32"/>
        </w:rPr>
        <w:t>个工作日内完成工作交接。</w:t>
      </w:r>
    </w:p>
    <w:p w14:paraId="4F409CB3">
      <w:pPr>
        <w:pStyle w:val="15"/>
        <w:spacing w:before="0" w:beforeAutospacing="0" w:after="0" w:afterAutospacing="0" w:line="570" w:lineRule="atLeast"/>
        <w:ind w:firstLine="640"/>
        <w:jc w:val="both"/>
        <w:rPr>
          <w:rFonts w:ascii="等线" w:eastAsia="等线"/>
          <w:sz w:val="21"/>
          <w:szCs w:val="21"/>
        </w:rPr>
      </w:pPr>
      <w:r>
        <w:rPr>
          <w:rFonts w:ascii="黑体" w:hAnsi="黑体" w:eastAsia="黑体" w:cs="Times New Roman"/>
          <w:sz w:val="32"/>
          <w:szCs w:val="32"/>
        </w:rPr>
        <w:t>第</w:t>
      </w:r>
      <w:r>
        <w:rPr>
          <w:rFonts w:hint="eastAsia" w:ascii="黑体" w:hAnsi="黑体" w:eastAsia="黑体" w:cs="Times New Roman"/>
          <w:sz w:val="32"/>
          <w:szCs w:val="32"/>
        </w:rPr>
        <w:t>二十七</w:t>
      </w:r>
      <w:r>
        <w:rPr>
          <w:rFonts w:ascii="黑体" w:hAnsi="黑体" w:eastAsia="黑体" w:cs="Times New Roman"/>
          <w:sz w:val="32"/>
          <w:szCs w:val="32"/>
        </w:rPr>
        <w:t>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区司法局对区政府法律顾问实行动态管理。因法律顾问主动退出、</w:t>
      </w:r>
      <w:r>
        <w:rPr>
          <w:rFonts w:hint="eastAsia" w:ascii="仿宋_GB2312" w:hAnsi="Times New Roman" w:eastAsia="仿宋_GB2312" w:cs="Times New Roman"/>
          <w:sz w:val="32"/>
          <w:szCs w:val="32"/>
        </w:rPr>
        <w:t>解聘</w:t>
      </w:r>
      <w:r>
        <w:rPr>
          <w:rFonts w:ascii="仿宋_GB2312" w:hAnsi="Times New Roman" w:eastAsia="仿宋_GB2312" w:cs="Times New Roman"/>
          <w:sz w:val="32"/>
          <w:szCs w:val="32"/>
        </w:rPr>
        <w:t>等原因出现名额空缺，或因新领域、新事务发展确需增补特定专业领域法律顾问的，区司法局可适时启动增补程序。增补人员的聘期与本届法律顾问剩余聘期保持一致，其增补程序</w:t>
      </w:r>
      <w:r>
        <w:rPr>
          <w:rFonts w:hint="eastAsia" w:ascii="仿宋_GB2312" w:hAnsi="Times New Roman" w:eastAsia="仿宋_GB2312" w:cs="Times New Roman"/>
          <w:sz w:val="32"/>
          <w:szCs w:val="32"/>
        </w:rPr>
        <w:t>按照</w:t>
      </w:r>
      <w:r>
        <w:rPr>
          <w:rFonts w:ascii="仿宋_GB2312" w:hAnsi="Times New Roman" w:eastAsia="仿宋_GB2312" w:cs="Times New Roman"/>
          <w:sz w:val="32"/>
          <w:szCs w:val="32"/>
        </w:rPr>
        <w:t>本办法第</w:t>
      </w:r>
      <w:r>
        <w:rPr>
          <w:rFonts w:hint="eastAsia" w:ascii="仿宋_GB2312" w:hAnsi="Times New Roman" w:eastAsia="仿宋_GB2312" w:cs="Times New Roman"/>
          <w:sz w:val="32"/>
          <w:szCs w:val="32"/>
        </w:rPr>
        <w:t>十一</w:t>
      </w:r>
      <w:r>
        <w:rPr>
          <w:rFonts w:ascii="仿宋_GB2312" w:hAnsi="Times New Roman" w:eastAsia="仿宋_GB2312" w:cs="Times New Roman"/>
          <w:sz w:val="32"/>
          <w:szCs w:val="32"/>
        </w:rPr>
        <w:t>条规定执行。</w:t>
      </w:r>
    </w:p>
    <w:p w14:paraId="6E016B62">
      <w:pPr>
        <w:pStyle w:val="15"/>
        <w:spacing w:before="0" w:beforeAutospacing="0" w:after="0" w:afterAutospacing="0" w:line="600" w:lineRule="atLeast"/>
        <w:ind w:firstLine="640"/>
        <w:jc w:val="both"/>
        <w:rPr>
          <w:rFonts w:ascii="等线" w:eastAsia="等线"/>
          <w:sz w:val="21"/>
          <w:szCs w:val="21"/>
        </w:rPr>
      </w:pPr>
    </w:p>
    <w:p w14:paraId="408F0C76">
      <w:pPr>
        <w:pStyle w:val="15"/>
        <w:spacing w:before="0" w:beforeAutospacing="0" w:after="0" w:afterAutospacing="0" w:line="520" w:lineRule="atLeast"/>
        <w:jc w:val="center"/>
        <w:rPr>
          <w:rFonts w:ascii="等线" w:eastAsia="等线"/>
          <w:sz w:val="21"/>
          <w:szCs w:val="21"/>
        </w:rPr>
      </w:pPr>
      <w:r>
        <w:rPr>
          <w:rFonts w:hint="eastAsia" w:ascii="黑体" w:hAnsi="黑体" w:eastAsia="黑体"/>
          <w:sz w:val="32"/>
          <w:szCs w:val="32"/>
        </w:rPr>
        <w:t>第五章  </w:t>
      </w:r>
      <w:r>
        <w:rPr>
          <w:rFonts w:ascii="黑体" w:hAnsi="黑体" w:eastAsia="黑体" w:cs="Times New Roman"/>
          <w:sz w:val="32"/>
          <w:szCs w:val="32"/>
        </w:rPr>
        <w:t>考核评价</w:t>
      </w:r>
    </w:p>
    <w:p w14:paraId="14B8E446">
      <w:pPr>
        <w:pStyle w:val="15"/>
        <w:spacing w:before="0" w:beforeAutospacing="0" w:after="0" w:afterAutospacing="0" w:line="520" w:lineRule="atLeast"/>
        <w:jc w:val="both"/>
        <w:rPr>
          <w:rFonts w:ascii="等线" w:eastAsia="等线"/>
          <w:sz w:val="21"/>
          <w:szCs w:val="21"/>
        </w:rPr>
      </w:pPr>
      <w:r>
        <w:rPr>
          <w:rFonts w:hint="eastAsia" w:ascii="等线" w:eastAsia="等线"/>
          <w:sz w:val="21"/>
          <w:szCs w:val="21"/>
        </w:rPr>
        <w:t> </w:t>
      </w:r>
    </w:p>
    <w:p w14:paraId="77687B81">
      <w:pPr>
        <w:pStyle w:val="15"/>
        <w:spacing w:before="0" w:beforeAutospacing="0" w:after="0" w:afterAutospacing="0" w:line="600" w:lineRule="atLeast"/>
        <w:ind w:firstLine="640"/>
        <w:jc w:val="both"/>
        <w:rPr>
          <w:rFonts w:ascii="等线" w:eastAsia="等线"/>
          <w:sz w:val="21"/>
          <w:szCs w:val="21"/>
        </w:rPr>
      </w:pPr>
      <w:r>
        <w:rPr>
          <w:rFonts w:ascii="黑体" w:hAnsi="黑体" w:eastAsia="黑体" w:cs="Times New Roman"/>
          <w:sz w:val="32"/>
          <w:szCs w:val="32"/>
        </w:rPr>
        <w:t>第</w:t>
      </w:r>
      <w:r>
        <w:rPr>
          <w:rFonts w:hint="eastAsia" w:ascii="黑体" w:hAnsi="黑体" w:eastAsia="黑体" w:cs="Times New Roman"/>
          <w:sz w:val="32"/>
          <w:szCs w:val="32"/>
        </w:rPr>
        <w:t>二十八</w:t>
      </w:r>
      <w:r>
        <w:rPr>
          <w:rFonts w:ascii="黑体" w:hAnsi="黑体" w:eastAsia="黑体" w:cs="Times New Roman"/>
          <w:sz w:val="32"/>
          <w:szCs w:val="32"/>
        </w:rPr>
        <w:t>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建立健全区政府法律顾问考核评价机制，</w:t>
      </w:r>
      <w:r>
        <w:rPr>
          <w:rFonts w:hint="eastAsia" w:ascii="仿宋_GB2312" w:hAnsi="Times New Roman" w:eastAsia="仿宋_GB2312" w:cs="Times New Roman"/>
          <w:sz w:val="32"/>
          <w:szCs w:val="32"/>
        </w:rPr>
        <w:t>区政府法律顾问的考核评价由</w:t>
      </w:r>
      <w:r>
        <w:rPr>
          <w:rFonts w:ascii="仿宋_GB2312" w:hAnsi="Times New Roman" w:eastAsia="仿宋_GB2312" w:cs="Times New Roman"/>
          <w:sz w:val="32"/>
          <w:szCs w:val="32"/>
        </w:rPr>
        <w:t>区司法局负责组织实施。</w:t>
      </w:r>
    </w:p>
    <w:p w14:paraId="102236DE">
      <w:pPr>
        <w:pStyle w:val="15"/>
        <w:spacing w:before="0" w:beforeAutospacing="0" w:after="0" w:afterAutospacing="0" w:line="600" w:lineRule="atLeast"/>
        <w:ind w:firstLine="640"/>
        <w:jc w:val="both"/>
        <w:rPr>
          <w:rFonts w:ascii="等线" w:eastAsia="等线"/>
          <w:sz w:val="21"/>
          <w:szCs w:val="21"/>
        </w:rPr>
      </w:pPr>
      <w:r>
        <w:rPr>
          <w:rFonts w:ascii="黑体" w:hAnsi="黑体" w:eastAsia="黑体" w:cs="Times New Roman"/>
          <w:sz w:val="32"/>
          <w:szCs w:val="32"/>
        </w:rPr>
        <w:t>第</w:t>
      </w:r>
      <w:r>
        <w:rPr>
          <w:rFonts w:hint="eastAsia" w:ascii="黑体" w:hAnsi="黑体" w:eastAsia="黑体" w:cs="Times New Roman"/>
          <w:sz w:val="32"/>
          <w:szCs w:val="32"/>
        </w:rPr>
        <w:t>二十九</w:t>
      </w:r>
      <w:r>
        <w:rPr>
          <w:rFonts w:ascii="黑体" w:hAnsi="黑体" w:eastAsia="黑体" w:cs="Times New Roman"/>
          <w:sz w:val="32"/>
          <w:szCs w:val="32"/>
        </w:rPr>
        <w:t>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区司法局应当建立区政府法律顾问工作台账，详细记录法律顾问办理有关政府法律事务情况，作为考核评价的重要依据。</w:t>
      </w:r>
    </w:p>
    <w:p w14:paraId="27AA9B5C">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ascii="黑体" w:hAnsi="黑体" w:eastAsia="黑体" w:cs="Times New Roman"/>
          <w:sz w:val="32"/>
          <w:szCs w:val="32"/>
        </w:rPr>
        <w:t>第</w:t>
      </w:r>
      <w:r>
        <w:rPr>
          <w:rFonts w:hint="eastAsia" w:ascii="黑体" w:hAnsi="黑体" w:eastAsia="黑体" w:cs="Times New Roman"/>
          <w:sz w:val="32"/>
          <w:szCs w:val="32"/>
        </w:rPr>
        <w:t>三十</w:t>
      </w:r>
      <w:r>
        <w:rPr>
          <w:rFonts w:ascii="黑体" w:hAnsi="黑体" w:eastAsia="黑体" w:cs="Times New Roman"/>
          <w:sz w:val="32"/>
          <w:szCs w:val="32"/>
        </w:rPr>
        <w:t>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区政府法律顾问工作考核</w:t>
      </w:r>
      <w:r>
        <w:rPr>
          <w:rFonts w:hint="eastAsia" w:ascii="仿宋_GB2312" w:hAnsi="Times New Roman" w:eastAsia="仿宋_GB2312" w:cs="Times New Roman"/>
          <w:sz w:val="32"/>
          <w:szCs w:val="32"/>
        </w:rPr>
        <w:t>采用年度考核的机制，由使用和管理法律顾问的部门对顾问律师的参与率、服务质量、报告义务履行情况等方面进行考核评价。</w:t>
      </w:r>
    </w:p>
    <w:p w14:paraId="20F39AFC">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ascii="黑体" w:hAnsi="黑体" w:eastAsia="黑体" w:cs="Times New Roman"/>
          <w:sz w:val="32"/>
          <w:szCs w:val="32"/>
        </w:rPr>
        <w:t>第</w:t>
      </w:r>
      <w:r>
        <w:rPr>
          <w:rFonts w:hint="eastAsia" w:ascii="黑体" w:hAnsi="黑体" w:eastAsia="黑体" w:cs="Times New Roman"/>
          <w:sz w:val="32"/>
          <w:szCs w:val="32"/>
        </w:rPr>
        <w:t>三十一</w:t>
      </w:r>
      <w:r>
        <w:rPr>
          <w:rFonts w:ascii="黑体" w:hAnsi="黑体" w:eastAsia="黑体" w:cs="Times New Roman"/>
          <w:sz w:val="32"/>
          <w:szCs w:val="32"/>
        </w:rPr>
        <w:t>条</w:t>
      </w:r>
      <w:r>
        <w:rPr>
          <w:rFonts w:ascii="仿宋_GB2312" w:hAnsi="Times New Roman" w:eastAsia="仿宋_GB2312" w:cs="Times New Roman"/>
          <w:sz w:val="32"/>
          <w:szCs w:val="32"/>
        </w:rPr>
        <w:t>  考核评价采取量化评分方式</w:t>
      </w:r>
      <w:r>
        <w:rPr>
          <w:rFonts w:hint="eastAsia" w:ascii="黑体" w:hAnsi="黑体" w:eastAsia="黑体" w:cs="Times New Roman"/>
          <w:sz w:val="32"/>
          <w:szCs w:val="32"/>
        </w:rPr>
        <w:t>，</w:t>
      </w:r>
      <w:r>
        <w:rPr>
          <w:rFonts w:hint="eastAsia" w:ascii="仿宋_GB2312" w:hAnsi="Times New Roman" w:eastAsia="仿宋_GB2312" w:cs="Times New Roman"/>
          <w:sz w:val="32"/>
          <w:szCs w:val="32"/>
        </w:rPr>
        <w:t>总分为110分，其中基础项100分，加分项10分。</w:t>
      </w:r>
      <w:r>
        <w:rPr>
          <w:rFonts w:ascii="仿宋_GB2312" w:hAnsi="Times New Roman" w:eastAsia="仿宋_GB2312" w:cs="Times New Roman"/>
          <w:sz w:val="32"/>
          <w:szCs w:val="32"/>
        </w:rPr>
        <w:t>评价结果分为</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优秀</w:t>
      </w:r>
      <w:r>
        <w:rPr>
          <w:rFonts w:hint="eastAsia" w:ascii="仿宋_GB2312" w:hAnsi="Times New Roman" w:eastAsia="仿宋_GB2312" w:cs="Times New Roman"/>
          <w:sz w:val="32"/>
          <w:szCs w:val="32"/>
        </w:rPr>
        <w:t>”“良好”“合格”</w:t>
      </w:r>
      <w:r>
        <w:rPr>
          <w:rFonts w:ascii="仿宋_GB2312" w:hAnsi="Times New Roman" w:eastAsia="仿宋_GB2312" w:cs="Times New Roman"/>
          <w:sz w:val="32"/>
          <w:szCs w:val="32"/>
        </w:rPr>
        <w:t>和</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不合格</w:t>
      </w:r>
      <w:r>
        <w:rPr>
          <w:rFonts w:hint="eastAsia" w:ascii="仿宋_GB2312" w:hAnsi="Times New Roman" w:eastAsia="仿宋_GB2312" w:cs="Times New Roman"/>
          <w:sz w:val="32"/>
          <w:szCs w:val="32"/>
        </w:rPr>
        <w:t>”四</w:t>
      </w:r>
      <w:r>
        <w:rPr>
          <w:rFonts w:ascii="仿宋_GB2312" w:hAnsi="Times New Roman" w:eastAsia="仿宋_GB2312" w:cs="Times New Roman"/>
          <w:sz w:val="32"/>
          <w:szCs w:val="32"/>
        </w:rPr>
        <w:t>个等次。考核结果作为区政府法律顾问</w:t>
      </w:r>
      <w:r>
        <w:rPr>
          <w:rFonts w:hint="eastAsia" w:ascii="仿宋_GB2312" w:hAnsi="Times New Roman" w:eastAsia="仿宋_GB2312" w:cs="Times New Roman"/>
          <w:sz w:val="32"/>
          <w:szCs w:val="32"/>
        </w:rPr>
        <w:t>费用支付及</w:t>
      </w:r>
      <w:r>
        <w:rPr>
          <w:rFonts w:ascii="仿宋_GB2312" w:hAnsi="Times New Roman" w:eastAsia="仿宋_GB2312" w:cs="Times New Roman"/>
          <w:sz w:val="32"/>
          <w:szCs w:val="32"/>
        </w:rPr>
        <w:t>续聘</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解聘的重要依据。</w:t>
      </w:r>
    </w:p>
    <w:p w14:paraId="10C77B68">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当年度考核优秀（90分及以上）的，全额支付</w:t>
      </w:r>
      <w:bookmarkStart w:id="7" w:name="OLE_LINK1"/>
      <w:r>
        <w:rPr>
          <w:rFonts w:hint="eastAsia" w:ascii="仿宋_GB2312" w:hAnsi="Times New Roman" w:eastAsia="仿宋_GB2312" w:cs="Times New Roman"/>
          <w:sz w:val="32"/>
          <w:szCs w:val="32"/>
        </w:rPr>
        <w:t>法律顾问费用</w:t>
      </w:r>
      <w:bookmarkEnd w:id="7"/>
      <w:r>
        <w:rPr>
          <w:rFonts w:hint="eastAsia" w:ascii="仿宋_GB2312" w:hAnsi="Times New Roman" w:eastAsia="仿宋_GB2312" w:cs="Times New Roman"/>
          <w:sz w:val="32"/>
          <w:szCs w:val="32"/>
        </w:rPr>
        <w:t>。连续三年考核优秀的，续聘时在同等条件下优先予以考虑</w:t>
      </w:r>
      <w:bookmarkStart w:id="8" w:name="OLE_LINK19"/>
      <w:bookmarkStart w:id="9" w:name="OLE_LINK20"/>
      <w:r>
        <w:rPr>
          <w:rFonts w:hint="eastAsia" w:ascii="仿宋_GB2312" w:hAnsi="Times New Roman" w:eastAsia="仿宋_GB2312" w:cs="Times New Roman"/>
          <w:sz w:val="32"/>
          <w:szCs w:val="32"/>
        </w:rPr>
        <w:t>。</w:t>
      </w:r>
    </w:p>
    <w:p w14:paraId="6C561653">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当年度考核良好（76分-89分）的，</w:t>
      </w:r>
      <w:bookmarkStart w:id="10" w:name="OLE_LINK2"/>
      <w:bookmarkStart w:id="11" w:name="OLE_LINK3"/>
      <w:r>
        <w:rPr>
          <w:rFonts w:hint="eastAsia" w:ascii="仿宋_GB2312" w:hAnsi="Times New Roman" w:eastAsia="仿宋_GB2312" w:cs="Times New Roman"/>
          <w:sz w:val="32"/>
          <w:szCs w:val="32"/>
        </w:rPr>
        <w:t>法律顾问费用</w:t>
      </w:r>
      <w:bookmarkEnd w:id="10"/>
      <w:bookmarkEnd w:id="11"/>
      <w:r>
        <w:rPr>
          <w:rFonts w:hint="eastAsia" w:ascii="仿宋_GB2312" w:hAnsi="Times New Roman" w:eastAsia="仿宋_GB2312" w:cs="Times New Roman"/>
          <w:sz w:val="32"/>
          <w:szCs w:val="32"/>
        </w:rPr>
        <w:t>按全额的90%支付。</w:t>
      </w:r>
    </w:p>
    <w:p w14:paraId="02483B40">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当年度考核合格（61分-75分）的，</w:t>
      </w:r>
      <w:bookmarkStart w:id="12" w:name="OLE_LINK7"/>
      <w:bookmarkStart w:id="13" w:name="OLE_LINK6"/>
      <w:r>
        <w:rPr>
          <w:rFonts w:hint="eastAsia" w:ascii="仿宋_GB2312" w:hAnsi="Times New Roman" w:eastAsia="仿宋_GB2312" w:cs="Times New Roman"/>
          <w:sz w:val="32"/>
          <w:szCs w:val="32"/>
        </w:rPr>
        <w:t>法律顾问费用</w:t>
      </w:r>
      <w:bookmarkEnd w:id="12"/>
      <w:bookmarkEnd w:id="13"/>
      <w:r>
        <w:rPr>
          <w:rFonts w:hint="eastAsia" w:ascii="仿宋_GB2312" w:hAnsi="Times New Roman" w:eastAsia="仿宋_GB2312" w:cs="Times New Roman"/>
          <w:sz w:val="32"/>
          <w:szCs w:val="32"/>
        </w:rPr>
        <w:t>按全额的80%支付。在</w:t>
      </w:r>
      <w:r>
        <w:rPr>
          <w:rFonts w:ascii="仿宋_GB2312" w:hAnsi="Times New Roman" w:eastAsia="仿宋_GB2312" w:cs="Times New Roman"/>
          <w:sz w:val="32"/>
          <w:szCs w:val="32"/>
        </w:rPr>
        <w:t>聘期内</w:t>
      </w:r>
      <w:r>
        <w:rPr>
          <w:rFonts w:hint="eastAsia" w:ascii="仿宋_GB2312" w:hAnsi="Times New Roman" w:eastAsia="仿宋_GB2312" w:cs="Times New Roman"/>
          <w:sz w:val="32"/>
          <w:szCs w:val="32"/>
        </w:rPr>
        <w:t>存在连续2次</w:t>
      </w:r>
      <w:r>
        <w:rPr>
          <w:rFonts w:ascii="仿宋_GB2312" w:hAnsi="Times New Roman" w:eastAsia="仿宋_GB2312" w:cs="Times New Roman"/>
          <w:sz w:val="32"/>
          <w:szCs w:val="32"/>
        </w:rPr>
        <w:t>年度考核结果为“合格”情况的，</w:t>
      </w:r>
      <w:r>
        <w:rPr>
          <w:rFonts w:hint="eastAsia" w:ascii="仿宋_GB2312" w:hAnsi="Times New Roman" w:eastAsia="仿宋_GB2312" w:cs="Times New Roman"/>
          <w:sz w:val="32"/>
          <w:szCs w:val="32"/>
        </w:rPr>
        <w:t>予以解聘。</w:t>
      </w:r>
    </w:p>
    <w:p w14:paraId="7D29D217">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当年度考核不合格（60分以下）的，法律顾问费用按全额的60%支付</w:t>
      </w:r>
      <w:bookmarkEnd w:id="8"/>
      <w:bookmarkEnd w:id="9"/>
      <w:r>
        <w:rPr>
          <w:rFonts w:hint="eastAsia" w:ascii="仿宋_GB2312" w:hAnsi="Times New Roman" w:eastAsia="仿宋_GB2312" w:cs="Times New Roman"/>
          <w:sz w:val="32"/>
          <w:szCs w:val="32"/>
        </w:rPr>
        <w:t>，并予以解聘。</w:t>
      </w:r>
    </w:p>
    <w:p w14:paraId="3E867679">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黑体" w:hAnsi="黑体" w:eastAsia="黑体" w:cs="Times New Roman"/>
          <w:sz w:val="32"/>
          <w:szCs w:val="32"/>
        </w:rPr>
        <w:t xml:space="preserve">第三十二条 </w:t>
      </w:r>
      <w:r>
        <w:rPr>
          <w:rFonts w:hint="eastAsia" w:ascii="仿宋_GB2312" w:hAnsi="Times New Roman" w:eastAsia="仿宋_GB2312" w:cs="Times New Roman"/>
          <w:sz w:val="32"/>
          <w:szCs w:val="32"/>
        </w:rPr>
        <w:t>区政府法律顾问存在以下情形的，年度考核直接定为不合格:</w:t>
      </w:r>
    </w:p>
    <w:p w14:paraId="2B1EAEB0">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（一）无正当理由不参加工作会议三次以上或无正当理由不按时完成工作任务两次以上的;</w:t>
      </w:r>
    </w:p>
    <w:p w14:paraId="60CB12EF">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（二）利用在工作期间获取的非公开信息或便利条件，为本人及所在单位或他人谋取利益的；</w:t>
      </w:r>
      <w:bookmarkStart w:id="14" w:name="OLE_LINK24"/>
      <w:bookmarkStart w:id="15" w:name="OLE_LINK25"/>
      <w:r>
        <w:rPr>
          <w:rFonts w:hint="eastAsia" w:ascii="仿宋_GB2312" w:hAnsi="Times New Roman" w:eastAsia="仿宋_GB2312" w:cs="Times New Roman"/>
          <w:sz w:val="32"/>
          <w:szCs w:val="32"/>
        </w:rPr>
        <w:t xml:space="preserve"> </w:t>
      </w:r>
    </w:p>
    <w:p w14:paraId="68B44F5F">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（三）泄露在工作中接触的有关政府工作的秘密和其他不宜公开的信息，给行政机关或者相关当事人造成不良影响的;</w:t>
      </w:r>
    </w:p>
    <w:p w14:paraId="017B6B61">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（四）以政府法律顾问名义从事商业活动，或者以政府法律顾问名义对其他单位、个人施加影响的；</w:t>
      </w:r>
    </w:p>
    <w:p w14:paraId="47BB06F4">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（五）从事与其职业、法律顾问身份不相符的活动，损害政府和行政机关形象或者造成不良影响的；</w:t>
      </w:r>
    </w:p>
    <w:p w14:paraId="0E89577B">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（六）未经区政府书面同意，擅自将其承担的法律顾问工作委托给其他单位或个人办理的；</w:t>
      </w:r>
    </w:p>
    <w:p w14:paraId="14E97088">
      <w:pPr>
        <w:pStyle w:val="15"/>
        <w:spacing w:before="0" w:beforeAutospacing="0" w:after="0" w:afterAutospacing="0" w:line="600" w:lineRule="atLeast"/>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（七）其他不宜继续担任法律顾问的情形。</w:t>
      </w:r>
    </w:p>
    <w:bookmarkEnd w:id="14"/>
    <w:bookmarkEnd w:id="15"/>
    <w:p w14:paraId="46845915">
      <w:pPr>
        <w:pStyle w:val="15"/>
        <w:spacing w:before="0" w:beforeAutospacing="0" w:after="0" w:afterAutospacing="0" w:line="600" w:lineRule="atLeast"/>
        <w:ind w:firstLine="640"/>
        <w:jc w:val="both"/>
        <w:rPr>
          <w:rFonts w:ascii="等线" w:eastAsia="等线"/>
          <w:sz w:val="21"/>
          <w:szCs w:val="21"/>
        </w:rPr>
      </w:pPr>
      <w:r>
        <w:rPr>
          <w:rFonts w:ascii="黑体" w:hAnsi="黑体" w:eastAsia="黑体" w:cs="Times New Roman"/>
          <w:sz w:val="32"/>
          <w:szCs w:val="32"/>
        </w:rPr>
        <w:t>第</w:t>
      </w:r>
      <w:r>
        <w:rPr>
          <w:rFonts w:hint="eastAsia" w:ascii="黑体" w:hAnsi="黑体" w:eastAsia="黑体" w:cs="Times New Roman"/>
          <w:sz w:val="32"/>
          <w:szCs w:val="32"/>
        </w:rPr>
        <w:t>三十三</w:t>
      </w:r>
      <w:r>
        <w:rPr>
          <w:rFonts w:ascii="黑体" w:hAnsi="黑体" w:eastAsia="黑体" w:cs="Times New Roman"/>
          <w:sz w:val="32"/>
          <w:szCs w:val="32"/>
        </w:rPr>
        <w:t>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区政府法律顾问应当</w:t>
      </w:r>
      <w:r>
        <w:rPr>
          <w:rFonts w:hint="eastAsia" w:ascii="仿宋_GB2312" w:hAnsi="Times New Roman" w:eastAsia="仿宋_GB2312" w:cs="Times New Roman"/>
          <w:sz w:val="32"/>
          <w:szCs w:val="32"/>
        </w:rPr>
        <w:t>按照区司法局的要求报送</w:t>
      </w:r>
      <w:r>
        <w:rPr>
          <w:rFonts w:ascii="仿宋_GB2312" w:hAnsi="Times New Roman" w:eastAsia="仿宋_GB2312" w:cs="Times New Roman"/>
          <w:sz w:val="32"/>
          <w:szCs w:val="32"/>
        </w:rPr>
        <w:t>年</w:t>
      </w:r>
      <w:r>
        <w:rPr>
          <w:rFonts w:hint="eastAsia" w:ascii="仿宋_GB2312" w:hAnsi="Times New Roman" w:eastAsia="仿宋_GB2312" w:cs="Times New Roman"/>
          <w:sz w:val="32"/>
          <w:szCs w:val="32"/>
        </w:rPr>
        <w:t>度</w:t>
      </w:r>
      <w:r>
        <w:rPr>
          <w:rFonts w:ascii="仿宋_GB2312" w:hAnsi="Times New Roman" w:eastAsia="仿宋_GB2312" w:cs="Times New Roman"/>
          <w:sz w:val="32"/>
          <w:szCs w:val="32"/>
        </w:rPr>
        <w:t>工作履职报告，并结合法治政府建设提出有针对性的工作建议；如</w:t>
      </w:r>
      <w:r>
        <w:rPr>
          <w:rFonts w:hint="eastAsia" w:ascii="仿宋_GB2312" w:hAnsi="Times New Roman" w:eastAsia="仿宋_GB2312" w:cs="Times New Roman"/>
          <w:sz w:val="32"/>
          <w:szCs w:val="32"/>
        </w:rPr>
        <w:t>有突出业绩或研究成果的</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应</w:t>
      </w:r>
      <w:r>
        <w:rPr>
          <w:rFonts w:ascii="仿宋_GB2312" w:hAnsi="Times New Roman" w:eastAsia="仿宋_GB2312" w:cs="Times New Roman"/>
          <w:sz w:val="32"/>
          <w:szCs w:val="32"/>
        </w:rPr>
        <w:t>在报告中注明并附相关证明材料。</w:t>
      </w:r>
    </w:p>
    <w:p w14:paraId="3C3BDFFF">
      <w:pPr>
        <w:pStyle w:val="15"/>
        <w:spacing w:before="0" w:beforeAutospacing="0" w:after="0" w:afterAutospacing="0" w:line="640" w:lineRule="atLeast"/>
        <w:ind w:firstLine="640"/>
        <w:jc w:val="both"/>
        <w:rPr>
          <w:rFonts w:ascii="等线" w:eastAsia="等线"/>
          <w:sz w:val="21"/>
          <w:szCs w:val="21"/>
        </w:rPr>
      </w:pPr>
      <w:r>
        <w:rPr>
          <w:rFonts w:ascii="黑体" w:hAnsi="黑体" w:eastAsia="黑体" w:cs="Times New Roman"/>
          <w:sz w:val="32"/>
          <w:szCs w:val="32"/>
        </w:rPr>
        <w:t>第</w:t>
      </w:r>
      <w:r>
        <w:rPr>
          <w:rFonts w:hint="eastAsia" w:ascii="黑体" w:hAnsi="黑体" w:eastAsia="黑体" w:cs="Times New Roman"/>
          <w:sz w:val="32"/>
          <w:szCs w:val="32"/>
        </w:rPr>
        <w:t>三十四</w:t>
      </w:r>
      <w:r>
        <w:rPr>
          <w:rFonts w:ascii="黑体" w:hAnsi="黑体" w:eastAsia="黑体" w:cs="Times New Roman"/>
          <w:sz w:val="32"/>
          <w:szCs w:val="32"/>
        </w:rPr>
        <w:t>条</w:t>
      </w:r>
      <w:r>
        <w:rPr>
          <w:rFonts w:ascii="Times New Roman" w:hAnsi="Times New Roman" w:eastAsia="等线" w:cs="Times New Roman"/>
          <w:sz w:val="32"/>
          <w:szCs w:val="32"/>
        </w:rPr>
        <w:t>  </w:t>
      </w:r>
      <w:r>
        <w:rPr>
          <w:rFonts w:ascii="仿宋_GB2312" w:hAnsi="Times New Roman" w:eastAsia="仿宋_GB2312" w:cs="Times New Roman"/>
          <w:sz w:val="32"/>
          <w:szCs w:val="32"/>
        </w:rPr>
        <w:t>考核工作每年</w:t>
      </w:r>
      <w:r>
        <w:rPr>
          <w:rFonts w:hint="eastAsia" w:ascii="仿宋_GB2312" w:hAnsi="Times New Roman" w:eastAsia="仿宋_GB2312" w:cs="Times New Roman"/>
          <w:sz w:val="32"/>
          <w:szCs w:val="32"/>
        </w:rPr>
        <w:t>度</w:t>
      </w:r>
      <w:r>
        <w:rPr>
          <w:rFonts w:ascii="仿宋_GB2312" w:hAnsi="Times New Roman" w:eastAsia="仿宋_GB2312" w:cs="Times New Roman"/>
          <w:sz w:val="32"/>
          <w:szCs w:val="32"/>
        </w:rPr>
        <w:t>开展一次，考核结果应当及时告知区政府法律顾问。</w:t>
      </w:r>
    </w:p>
    <w:p w14:paraId="1A1193FB">
      <w:pPr>
        <w:pStyle w:val="15"/>
        <w:spacing w:before="0" w:beforeAutospacing="0" w:after="0" w:afterAutospacing="0" w:line="640" w:lineRule="atLeast"/>
        <w:ind w:firstLine="640"/>
        <w:jc w:val="both"/>
        <w:rPr>
          <w:rFonts w:ascii="等线" w:eastAsia="等线"/>
          <w:sz w:val="21"/>
          <w:szCs w:val="21"/>
        </w:rPr>
      </w:pPr>
      <w:r>
        <w:rPr>
          <w:rFonts w:ascii="黑体" w:hAnsi="黑体" w:eastAsia="黑体" w:cs="Times New Roman"/>
          <w:sz w:val="32"/>
          <w:szCs w:val="32"/>
        </w:rPr>
        <w:t>第</w:t>
      </w:r>
      <w:r>
        <w:rPr>
          <w:rFonts w:hint="eastAsia" w:ascii="黑体" w:hAnsi="黑体" w:eastAsia="黑体" w:cs="Times New Roman"/>
          <w:sz w:val="32"/>
          <w:szCs w:val="32"/>
        </w:rPr>
        <w:t>三十五</w:t>
      </w:r>
      <w:r>
        <w:rPr>
          <w:rFonts w:ascii="黑体" w:hAnsi="黑体" w:eastAsia="黑体" w:cs="Times New Roman"/>
          <w:sz w:val="32"/>
          <w:szCs w:val="32"/>
        </w:rPr>
        <w:t>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区政府法律顾问对考核结果有异议的，可自收到考核结果通知之日起</w:t>
      </w:r>
      <w:r>
        <w:rPr>
          <w:rFonts w:ascii="Times New Roman" w:hAnsi="Times New Roman" w:eastAsia="等线" w:cs="Times New Roman"/>
          <w:sz w:val="32"/>
          <w:szCs w:val="32"/>
        </w:rPr>
        <w:t>3</w:t>
      </w:r>
      <w:r>
        <w:rPr>
          <w:rFonts w:ascii="仿宋_GB2312" w:hAnsi="Times New Roman" w:eastAsia="仿宋_GB2312" w:cs="Times New Roman"/>
          <w:sz w:val="32"/>
          <w:szCs w:val="32"/>
        </w:rPr>
        <w:t>个工作日内，向区司法局提交书面复核申请，说明异议理由并附相关证据。</w:t>
      </w:r>
    </w:p>
    <w:p w14:paraId="201BB68B">
      <w:pPr>
        <w:pStyle w:val="15"/>
        <w:spacing w:before="0" w:beforeAutospacing="0" w:after="0" w:afterAutospacing="0" w:line="640" w:lineRule="atLeast"/>
        <w:ind w:firstLine="640"/>
        <w:jc w:val="both"/>
        <w:rPr>
          <w:rFonts w:ascii="等线" w:eastAsia="等线"/>
          <w:sz w:val="21"/>
          <w:szCs w:val="21"/>
        </w:rPr>
      </w:pPr>
      <w:r>
        <w:rPr>
          <w:rFonts w:ascii="仿宋_GB2312" w:hAnsi="Times New Roman" w:eastAsia="仿宋_GB2312" w:cs="Times New Roman"/>
          <w:sz w:val="32"/>
          <w:szCs w:val="32"/>
        </w:rPr>
        <w:t>区司法局应当在收到复核申请后</w:t>
      </w:r>
      <w:r>
        <w:rPr>
          <w:rFonts w:ascii="Times New Roman" w:hAnsi="Times New Roman" w:eastAsia="等线" w:cs="Times New Roman"/>
          <w:sz w:val="32"/>
          <w:szCs w:val="32"/>
        </w:rPr>
        <w:t>7</w:t>
      </w:r>
      <w:r>
        <w:rPr>
          <w:rFonts w:ascii="仿宋_GB2312" w:hAnsi="Times New Roman" w:eastAsia="仿宋_GB2312" w:cs="Times New Roman"/>
          <w:sz w:val="32"/>
          <w:szCs w:val="32"/>
        </w:rPr>
        <w:t>个工作日内，组织复核并形成复核意见，书面告知申请人；复核结果为最终考核结果。</w:t>
      </w:r>
    </w:p>
    <w:p w14:paraId="3D8D9276">
      <w:pPr>
        <w:pStyle w:val="15"/>
        <w:spacing w:before="0" w:beforeAutospacing="0" w:after="0" w:afterAutospacing="0" w:line="640" w:lineRule="atLeast"/>
        <w:jc w:val="center"/>
        <w:rPr>
          <w:rFonts w:ascii="等线" w:eastAsia="等线"/>
          <w:sz w:val="21"/>
          <w:szCs w:val="21"/>
        </w:rPr>
      </w:pPr>
      <w:r>
        <w:rPr>
          <w:rFonts w:hint="eastAsia" w:ascii="等线" w:eastAsia="等线"/>
          <w:sz w:val="21"/>
          <w:szCs w:val="21"/>
        </w:rPr>
        <w:t> </w:t>
      </w:r>
    </w:p>
    <w:p w14:paraId="79767803">
      <w:pPr>
        <w:pStyle w:val="15"/>
        <w:spacing w:before="0" w:beforeAutospacing="0" w:after="0" w:afterAutospacing="0" w:line="570" w:lineRule="atLeast"/>
        <w:jc w:val="center"/>
        <w:rPr>
          <w:rFonts w:ascii="等线" w:eastAsia="等线"/>
          <w:sz w:val="21"/>
          <w:szCs w:val="21"/>
        </w:rPr>
      </w:pPr>
      <w:r>
        <w:rPr>
          <w:rFonts w:hint="eastAsia" w:ascii="黑体" w:hAnsi="黑体" w:eastAsia="黑体"/>
          <w:sz w:val="32"/>
          <w:szCs w:val="32"/>
        </w:rPr>
        <w:t>第六章  </w:t>
      </w:r>
      <w:r>
        <w:rPr>
          <w:rFonts w:ascii="黑体" w:hAnsi="黑体" w:eastAsia="黑体" w:cs="Times New Roman"/>
          <w:sz w:val="32"/>
          <w:szCs w:val="32"/>
        </w:rPr>
        <w:t>附</w:t>
      </w:r>
      <w:r>
        <w:rPr>
          <w:rFonts w:ascii="Times New Roman" w:hAnsi="Times New Roman" w:eastAsia="等线" w:cs="Times New Roman"/>
          <w:sz w:val="32"/>
          <w:szCs w:val="32"/>
        </w:rPr>
        <w:t>  </w:t>
      </w:r>
      <w:r>
        <w:rPr>
          <w:rFonts w:ascii="黑体" w:hAnsi="黑体" w:eastAsia="黑体" w:cs="Times New Roman"/>
          <w:sz w:val="32"/>
          <w:szCs w:val="32"/>
        </w:rPr>
        <w:t>则</w:t>
      </w:r>
    </w:p>
    <w:p w14:paraId="32646CE0">
      <w:pPr>
        <w:pStyle w:val="15"/>
        <w:spacing w:before="0" w:beforeAutospacing="0" w:after="0" w:afterAutospacing="0" w:line="570" w:lineRule="atLeast"/>
        <w:jc w:val="both"/>
        <w:rPr>
          <w:rFonts w:ascii="等线" w:eastAsia="等线"/>
          <w:sz w:val="21"/>
          <w:szCs w:val="21"/>
        </w:rPr>
      </w:pPr>
      <w:r>
        <w:rPr>
          <w:rFonts w:hint="eastAsia" w:ascii="等线" w:eastAsia="等线"/>
          <w:sz w:val="21"/>
          <w:szCs w:val="21"/>
        </w:rPr>
        <w:t> </w:t>
      </w:r>
    </w:p>
    <w:p w14:paraId="14C620EC">
      <w:pPr>
        <w:pStyle w:val="15"/>
        <w:spacing w:before="0" w:beforeAutospacing="0" w:after="0" w:afterAutospacing="0" w:line="570" w:lineRule="atLeast"/>
        <w:ind w:firstLine="640"/>
        <w:jc w:val="both"/>
        <w:rPr>
          <w:rFonts w:ascii="等线" w:eastAsia="等线"/>
          <w:sz w:val="21"/>
          <w:szCs w:val="21"/>
        </w:rPr>
      </w:pPr>
      <w:r>
        <w:rPr>
          <w:rFonts w:ascii="黑体" w:hAnsi="黑体" w:eastAsia="黑体" w:cs="Times New Roman"/>
          <w:sz w:val="32"/>
          <w:szCs w:val="32"/>
        </w:rPr>
        <w:t>第三十</w:t>
      </w:r>
      <w:r>
        <w:rPr>
          <w:rFonts w:hint="eastAsia" w:ascii="黑体" w:hAnsi="黑体" w:eastAsia="黑体" w:cs="Times New Roman"/>
          <w:sz w:val="32"/>
          <w:szCs w:val="32"/>
        </w:rPr>
        <w:t>六</w:t>
      </w:r>
      <w:r>
        <w:rPr>
          <w:rFonts w:ascii="黑体" w:hAnsi="黑体" w:eastAsia="黑体" w:cs="Times New Roman"/>
          <w:sz w:val="32"/>
          <w:szCs w:val="32"/>
        </w:rPr>
        <w:t>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各管委会、镇</w:t>
      </w:r>
      <w:r>
        <w:rPr>
          <w:rFonts w:hint="eastAsia" w:ascii="仿宋_GB2312" w:hAnsi="Times New Roman" w:eastAsia="仿宋_GB2312" w:cs="Times New Roman"/>
          <w:sz w:val="32"/>
          <w:szCs w:val="32"/>
        </w:rPr>
        <w:t>人民</w:t>
      </w:r>
      <w:r>
        <w:rPr>
          <w:rFonts w:ascii="仿宋_GB2312" w:hAnsi="Times New Roman" w:eastAsia="仿宋_GB2312" w:cs="Times New Roman"/>
          <w:sz w:val="32"/>
          <w:szCs w:val="32"/>
        </w:rPr>
        <w:t>政府</w:t>
      </w:r>
      <w:r>
        <w:rPr>
          <w:rFonts w:hint="eastAsia" w:ascii="仿宋_GB2312" w:hAnsi="Times New Roman" w:eastAsia="仿宋_GB2312" w:cs="Times New Roman"/>
          <w:sz w:val="32"/>
          <w:szCs w:val="32"/>
        </w:rPr>
        <w:t>、街道办事处</w:t>
      </w:r>
      <w:r>
        <w:rPr>
          <w:rFonts w:ascii="仿宋_GB2312" w:hAnsi="Times New Roman" w:eastAsia="仿宋_GB2312" w:cs="Times New Roman"/>
          <w:sz w:val="32"/>
          <w:szCs w:val="32"/>
        </w:rPr>
        <w:t>及区政府工作部门可参照本办法执行。</w:t>
      </w:r>
    </w:p>
    <w:p w14:paraId="65E7DC4E">
      <w:pPr>
        <w:pStyle w:val="15"/>
        <w:spacing w:before="0" w:beforeAutospacing="0" w:after="0" w:afterAutospacing="0" w:line="600" w:lineRule="atLeast"/>
        <w:ind w:firstLine="640"/>
        <w:jc w:val="both"/>
        <w:rPr>
          <w:rFonts w:ascii="等线" w:eastAsia="等线"/>
          <w:sz w:val="21"/>
          <w:szCs w:val="21"/>
        </w:rPr>
      </w:pPr>
      <w:r>
        <w:rPr>
          <w:rFonts w:ascii="黑体" w:hAnsi="黑体" w:eastAsia="黑体" w:cs="Times New Roman"/>
          <w:sz w:val="32"/>
          <w:szCs w:val="32"/>
        </w:rPr>
        <w:t>第</w:t>
      </w:r>
      <w:r>
        <w:rPr>
          <w:rFonts w:hint="eastAsia" w:ascii="黑体" w:hAnsi="黑体" w:eastAsia="黑体" w:cs="Times New Roman"/>
          <w:sz w:val="32"/>
          <w:szCs w:val="32"/>
        </w:rPr>
        <w:t>三十七</w:t>
      </w:r>
      <w:r>
        <w:rPr>
          <w:rFonts w:ascii="黑体" w:hAnsi="黑体" w:eastAsia="黑体" w:cs="Times New Roman"/>
          <w:sz w:val="32"/>
          <w:szCs w:val="32"/>
        </w:rPr>
        <w:t>条</w:t>
      </w:r>
      <w:r>
        <w:rPr>
          <w:rFonts w:ascii="Times New Roman" w:hAnsi="Times New Roman" w:eastAsia="等线" w:cs="Times New Roman"/>
          <w:b/>
          <w:bCs/>
          <w:sz w:val="32"/>
          <w:szCs w:val="32"/>
        </w:rPr>
        <w:t>  </w:t>
      </w:r>
      <w:r>
        <w:rPr>
          <w:rFonts w:ascii="仿宋_GB2312" w:hAnsi="Times New Roman" w:eastAsia="仿宋_GB2312" w:cs="Times New Roman"/>
          <w:sz w:val="32"/>
          <w:szCs w:val="32"/>
        </w:rPr>
        <w:t>本办法由区司法局负责解释。本办法自公布之日起施行，前期有关规定与本办法不一致的，以本办法为准。</w:t>
      </w:r>
    </w:p>
    <w:p w14:paraId="2212C852">
      <w:pPr>
        <w:widowControl/>
        <w:spacing w:before="75" w:after="75" w:line="405" w:lineRule="atLeast"/>
        <w:ind w:firstLine="640" w:firstLineChars="200"/>
        <w:rPr>
          <w:rFonts w:ascii="仿宋_GB2312" w:hAnsi="Times New Roman" w:eastAsia="仿宋_GB2312" w:cs="Times New Roman"/>
          <w:sz w:val="32"/>
          <w:szCs w:val="32"/>
        </w:rPr>
      </w:pPr>
    </w:p>
    <w:p w14:paraId="27823DEA">
      <w:pPr>
        <w:widowControl/>
        <w:spacing w:before="75" w:after="75" w:line="405" w:lineRule="atLeast"/>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sz w:val="32"/>
          <w:szCs w:val="32"/>
        </w:rPr>
        <w:t>附件：苏州市</w:t>
      </w:r>
      <w:r>
        <w:rPr>
          <w:rFonts w:hint="eastAsia" w:ascii="仿宋_GB2312" w:hAnsi="Times New Roman" w:eastAsia="仿宋_GB2312" w:cs="Times New Roman"/>
          <w:kern w:val="0"/>
          <w:sz w:val="32"/>
          <w:szCs w:val="32"/>
        </w:rPr>
        <w:t>吴江区政府法律顾问考核评价表</w:t>
      </w:r>
    </w:p>
    <w:p w14:paraId="1CDFDC2B">
      <w:pPr>
        <w:widowControl/>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br w:type="page"/>
      </w:r>
    </w:p>
    <w:p w14:paraId="288C45D8">
      <w:pPr>
        <w:widowControl/>
        <w:jc w:val="left"/>
        <w:rPr>
          <w:rFonts w:ascii="黑体" w:hAnsi="黑体" w:eastAsia="黑体"/>
          <w:color w:val="333333"/>
          <w:sz w:val="32"/>
          <w:szCs w:val="32"/>
        </w:rPr>
      </w:pPr>
      <w:r>
        <w:rPr>
          <w:rFonts w:hint="eastAsia" w:ascii="黑体" w:hAnsi="黑体" w:eastAsia="黑体"/>
          <w:color w:val="333333"/>
          <w:sz w:val="32"/>
          <w:szCs w:val="32"/>
        </w:rPr>
        <w:t>附件</w:t>
      </w:r>
    </w:p>
    <w:p w14:paraId="65968FCD">
      <w:pPr>
        <w:widowControl/>
        <w:jc w:val="center"/>
        <w:rPr>
          <w:rFonts w:ascii="微软雅黑" w:hAnsi="微软雅黑" w:eastAsia="微软雅黑" w:cs="微软雅黑"/>
          <w:sz w:val="24"/>
          <w:szCs w:val="24"/>
        </w:rPr>
      </w:pPr>
      <w:r>
        <w:rPr>
          <w:rFonts w:ascii="方正小标宋_GBK" w:hAnsi="方正小标宋_GBK" w:eastAsia="方正小标宋_GBK" w:cs="方正小标宋_GBK"/>
          <w:kern w:val="0"/>
          <w:sz w:val="44"/>
          <w:szCs w:val="44"/>
          <w:lang w:bidi="ar"/>
        </w:rPr>
        <w:t>苏州市</w:t>
      </w:r>
      <w:r>
        <w:rPr>
          <w:rFonts w:hint="eastAsia" w:ascii="方正小标宋_GBK" w:hAnsi="方正小标宋_GBK" w:eastAsia="方正小标宋_GBK" w:cs="方正小标宋_GBK"/>
          <w:kern w:val="0"/>
          <w:sz w:val="44"/>
          <w:szCs w:val="44"/>
          <w:lang w:bidi="ar"/>
        </w:rPr>
        <w:t>吴江区政府法律顾问考核评价表</w:t>
      </w:r>
    </w:p>
    <w:p w14:paraId="1D206EE6">
      <w:pPr>
        <w:widowControl/>
        <w:adjustRightInd w:val="0"/>
        <w:snapToGrid w:val="0"/>
        <w:spacing w:line="600" w:lineRule="exact"/>
        <w:rPr>
          <w:rFonts w:ascii="Times New Roman" w:hAnsi="Times New Roman" w:eastAsia="仿宋_GB2312" w:cs="Times New Roman"/>
          <w:sz w:val="32"/>
          <w:szCs w:val="32"/>
        </w:rPr>
      </w:pPr>
    </w:p>
    <w:p w14:paraId="21E4F207">
      <w:pPr>
        <w:widowControl/>
        <w:adjustRightInd w:val="0"/>
        <w:snapToGrid w:val="0"/>
        <w:spacing w:line="600" w:lineRule="exact"/>
        <w:rPr>
          <w:rFonts w:ascii="仿宋_GB2312" w:hAnsi="Times New Roman" w:eastAsia="仿宋_GB2312" w:cs="Times New Roman"/>
          <w:color w:val="666666"/>
          <w:kern w:val="0"/>
          <w:sz w:val="32"/>
          <w:szCs w:val="32"/>
          <w:shd w:val="clear" w:color="auto" w:fill="FFFFFF"/>
        </w:rPr>
      </w:pPr>
      <w:r>
        <w:rPr>
          <w:rFonts w:hint="eastAsia" w:ascii="Times New Roman" w:hAnsi="Times New Roman" w:eastAsia="仿宋_GB2312" w:cs="Times New Roman"/>
          <w:sz w:val="32"/>
          <w:szCs w:val="32"/>
        </w:rPr>
        <w:t>法律顾问姓名：</w:t>
      </w:r>
      <w:r>
        <w:rPr>
          <w:rFonts w:ascii="Times New Roman" w:hAnsi="Times New Roman" w:eastAsia="仿宋_GB2312" w:cs="Times New Roman"/>
          <w:sz w:val="32"/>
          <w:szCs w:val="32"/>
        </w:rPr>
        <w:t>  </w:t>
      </w:r>
      <w:r>
        <w:rPr>
          <w:rFonts w:ascii="Times New Roman" w:hAnsi="Times New Roman" w:eastAsia="宋体" w:cs="Times New Roman"/>
          <w:color w:val="666666"/>
          <w:kern w:val="0"/>
          <w:sz w:val="32"/>
          <w:szCs w:val="32"/>
          <w:shd w:val="clear" w:color="auto" w:fill="FFFFFF"/>
        </w:rPr>
        <w:t>                       </w:t>
      </w: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rPr>
        <w:t>日</w:t>
      </w:r>
    </w:p>
    <w:tbl>
      <w:tblPr>
        <w:tblStyle w:val="18"/>
        <w:tblW w:w="964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374"/>
        <w:gridCol w:w="4591"/>
        <w:gridCol w:w="703"/>
        <w:gridCol w:w="703"/>
        <w:gridCol w:w="709"/>
        <w:gridCol w:w="709"/>
      </w:tblGrid>
      <w:tr w14:paraId="6FEA2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51" w:type="dxa"/>
            <w:vMerge w:val="restart"/>
            <w:vAlign w:val="center"/>
          </w:tcPr>
          <w:p w14:paraId="628B85B6">
            <w:pPr>
              <w:widowControl/>
              <w:adjustRightInd w:val="0"/>
              <w:snapToGrid w:val="0"/>
              <w:spacing w:line="600" w:lineRule="exact"/>
              <w:jc w:val="center"/>
              <w:rPr>
                <w:rFonts w:ascii="黑体" w:hAnsi="黑体" w:eastAsia="黑体"/>
                <w:kern w:val="0"/>
                <w:sz w:val="24"/>
                <w:szCs w:val="24"/>
              </w:rPr>
            </w:pPr>
            <w:r>
              <w:rPr>
                <w:rFonts w:hint="eastAsia" w:ascii="黑体" w:hAnsi="黑体" w:eastAsia="黑体"/>
                <w:kern w:val="0"/>
                <w:sz w:val="24"/>
                <w:szCs w:val="24"/>
              </w:rPr>
              <w:t>序号</w:t>
            </w:r>
          </w:p>
        </w:tc>
        <w:tc>
          <w:tcPr>
            <w:tcW w:w="1374" w:type="dxa"/>
            <w:vMerge w:val="restart"/>
            <w:vAlign w:val="center"/>
          </w:tcPr>
          <w:p w14:paraId="752A8DBD">
            <w:pPr>
              <w:widowControl/>
              <w:adjustRightInd w:val="0"/>
              <w:snapToGrid w:val="0"/>
              <w:spacing w:line="600" w:lineRule="exact"/>
              <w:jc w:val="center"/>
              <w:rPr>
                <w:rFonts w:ascii="黑体" w:hAnsi="黑体" w:eastAsia="黑体"/>
                <w:kern w:val="0"/>
                <w:sz w:val="24"/>
                <w:szCs w:val="24"/>
              </w:rPr>
            </w:pPr>
            <w:r>
              <w:rPr>
                <w:rFonts w:hint="eastAsia" w:ascii="黑体" w:hAnsi="黑体" w:eastAsia="黑体"/>
                <w:kern w:val="0"/>
                <w:sz w:val="24"/>
                <w:szCs w:val="24"/>
              </w:rPr>
              <w:t>考核项目</w:t>
            </w:r>
          </w:p>
        </w:tc>
        <w:tc>
          <w:tcPr>
            <w:tcW w:w="4591" w:type="dxa"/>
            <w:vMerge w:val="restart"/>
            <w:vAlign w:val="center"/>
          </w:tcPr>
          <w:p w14:paraId="56FFF7B8">
            <w:pPr>
              <w:widowControl/>
              <w:adjustRightInd w:val="0"/>
              <w:snapToGrid w:val="0"/>
              <w:spacing w:line="600" w:lineRule="exact"/>
              <w:jc w:val="center"/>
              <w:rPr>
                <w:rFonts w:ascii="黑体" w:hAnsi="黑体" w:eastAsia="黑体"/>
                <w:kern w:val="0"/>
                <w:sz w:val="24"/>
                <w:szCs w:val="24"/>
              </w:rPr>
            </w:pPr>
            <w:r>
              <w:rPr>
                <w:rFonts w:hint="eastAsia" w:ascii="黑体" w:hAnsi="黑体" w:eastAsia="黑体"/>
                <w:kern w:val="0"/>
                <w:sz w:val="24"/>
                <w:szCs w:val="24"/>
              </w:rPr>
              <w:t>考核内容</w:t>
            </w:r>
          </w:p>
        </w:tc>
        <w:tc>
          <w:tcPr>
            <w:tcW w:w="1406" w:type="dxa"/>
            <w:gridSpan w:val="2"/>
            <w:vAlign w:val="center"/>
          </w:tcPr>
          <w:p w14:paraId="68532604">
            <w:pPr>
              <w:widowControl/>
              <w:adjustRightInd w:val="0"/>
              <w:snapToGrid w:val="0"/>
              <w:spacing w:line="600" w:lineRule="exact"/>
              <w:jc w:val="center"/>
              <w:rPr>
                <w:rFonts w:ascii="黑体" w:hAnsi="黑体" w:eastAsia="黑体"/>
                <w:kern w:val="0"/>
                <w:sz w:val="24"/>
                <w:szCs w:val="24"/>
              </w:rPr>
            </w:pPr>
            <w:r>
              <w:rPr>
                <w:rFonts w:hint="eastAsia" w:ascii="黑体" w:hAnsi="黑体" w:eastAsia="黑体"/>
                <w:kern w:val="0"/>
                <w:sz w:val="24"/>
                <w:szCs w:val="24"/>
              </w:rPr>
              <w:t>自评分</w:t>
            </w:r>
          </w:p>
        </w:tc>
        <w:tc>
          <w:tcPr>
            <w:tcW w:w="1418" w:type="dxa"/>
            <w:gridSpan w:val="2"/>
            <w:vAlign w:val="center"/>
          </w:tcPr>
          <w:p w14:paraId="5BD0A3AE">
            <w:pPr>
              <w:widowControl/>
              <w:adjustRightInd w:val="0"/>
              <w:snapToGrid w:val="0"/>
              <w:spacing w:line="600" w:lineRule="exact"/>
              <w:jc w:val="center"/>
              <w:rPr>
                <w:rFonts w:ascii="黑体" w:hAnsi="黑体" w:eastAsia="黑体"/>
                <w:kern w:val="0"/>
                <w:sz w:val="24"/>
                <w:szCs w:val="24"/>
              </w:rPr>
            </w:pPr>
            <w:r>
              <w:rPr>
                <w:rFonts w:hint="eastAsia" w:ascii="黑体" w:hAnsi="黑体" w:eastAsia="黑体"/>
                <w:kern w:val="0"/>
                <w:sz w:val="24"/>
                <w:szCs w:val="24"/>
              </w:rPr>
              <w:t>考核分</w:t>
            </w:r>
          </w:p>
        </w:tc>
      </w:tr>
      <w:tr w14:paraId="2FFC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851" w:type="dxa"/>
            <w:vMerge w:val="continue"/>
            <w:vAlign w:val="center"/>
          </w:tcPr>
          <w:p w14:paraId="5BA5092A">
            <w:pPr>
              <w:widowControl/>
              <w:adjustRightInd w:val="0"/>
              <w:snapToGrid w:val="0"/>
              <w:spacing w:line="600" w:lineRule="exact"/>
              <w:jc w:val="center"/>
              <w:rPr>
                <w:rFonts w:ascii="黑体" w:hAnsi="黑体" w:eastAsia="黑体"/>
                <w:kern w:val="0"/>
                <w:sz w:val="24"/>
                <w:szCs w:val="24"/>
              </w:rPr>
            </w:pPr>
          </w:p>
        </w:tc>
        <w:tc>
          <w:tcPr>
            <w:tcW w:w="1374" w:type="dxa"/>
            <w:vMerge w:val="continue"/>
            <w:vAlign w:val="center"/>
          </w:tcPr>
          <w:p w14:paraId="655D7A34">
            <w:pPr>
              <w:widowControl/>
              <w:adjustRightInd w:val="0"/>
              <w:snapToGrid w:val="0"/>
              <w:spacing w:line="600" w:lineRule="exact"/>
              <w:jc w:val="center"/>
              <w:rPr>
                <w:rFonts w:ascii="黑体" w:hAnsi="黑体" w:eastAsia="黑体"/>
                <w:kern w:val="0"/>
                <w:sz w:val="24"/>
                <w:szCs w:val="24"/>
              </w:rPr>
            </w:pPr>
          </w:p>
        </w:tc>
        <w:tc>
          <w:tcPr>
            <w:tcW w:w="4591" w:type="dxa"/>
            <w:vMerge w:val="continue"/>
            <w:vAlign w:val="center"/>
          </w:tcPr>
          <w:p w14:paraId="4E2616F3">
            <w:pPr>
              <w:widowControl/>
              <w:adjustRightInd w:val="0"/>
              <w:snapToGrid w:val="0"/>
              <w:spacing w:line="600" w:lineRule="exact"/>
              <w:jc w:val="center"/>
              <w:rPr>
                <w:rFonts w:ascii="黑体" w:hAnsi="黑体" w:eastAsia="黑体"/>
                <w:kern w:val="0"/>
                <w:sz w:val="24"/>
                <w:szCs w:val="24"/>
              </w:rPr>
            </w:pPr>
          </w:p>
        </w:tc>
        <w:tc>
          <w:tcPr>
            <w:tcW w:w="703" w:type="dxa"/>
            <w:vAlign w:val="center"/>
          </w:tcPr>
          <w:p w14:paraId="3DF3C778">
            <w:pPr>
              <w:widowControl/>
              <w:adjustRightInd w:val="0"/>
              <w:snapToGrid w:val="0"/>
              <w:spacing w:line="600" w:lineRule="exact"/>
              <w:jc w:val="center"/>
              <w:rPr>
                <w:rFonts w:ascii="黑体" w:hAnsi="黑体" w:eastAsia="黑体"/>
                <w:kern w:val="0"/>
                <w:sz w:val="24"/>
                <w:szCs w:val="24"/>
              </w:rPr>
            </w:pPr>
            <w:r>
              <w:rPr>
                <w:rFonts w:hint="eastAsia" w:ascii="黑体" w:hAnsi="黑体" w:eastAsia="黑体"/>
                <w:kern w:val="0"/>
                <w:sz w:val="24"/>
                <w:szCs w:val="24"/>
              </w:rPr>
              <w:t>扣分</w:t>
            </w:r>
          </w:p>
        </w:tc>
        <w:tc>
          <w:tcPr>
            <w:tcW w:w="703" w:type="dxa"/>
            <w:vAlign w:val="center"/>
          </w:tcPr>
          <w:p w14:paraId="264B3DFF">
            <w:pPr>
              <w:widowControl/>
              <w:adjustRightInd w:val="0"/>
              <w:snapToGrid w:val="0"/>
              <w:spacing w:line="600" w:lineRule="exact"/>
              <w:jc w:val="center"/>
              <w:rPr>
                <w:rFonts w:ascii="黑体" w:hAnsi="黑体" w:eastAsia="黑体"/>
                <w:kern w:val="0"/>
                <w:sz w:val="24"/>
                <w:szCs w:val="24"/>
              </w:rPr>
            </w:pPr>
            <w:r>
              <w:rPr>
                <w:rFonts w:hint="eastAsia" w:ascii="黑体" w:hAnsi="黑体" w:eastAsia="黑体"/>
                <w:kern w:val="0"/>
                <w:sz w:val="24"/>
                <w:szCs w:val="24"/>
              </w:rPr>
              <w:t>得分</w:t>
            </w:r>
          </w:p>
        </w:tc>
        <w:tc>
          <w:tcPr>
            <w:tcW w:w="709" w:type="dxa"/>
            <w:vAlign w:val="center"/>
          </w:tcPr>
          <w:p w14:paraId="77AA110F">
            <w:pPr>
              <w:widowControl/>
              <w:adjustRightInd w:val="0"/>
              <w:snapToGrid w:val="0"/>
              <w:spacing w:line="600" w:lineRule="exact"/>
              <w:jc w:val="center"/>
              <w:rPr>
                <w:rFonts w:ascii="黑体" w:hAnsi="黑体" w:eastAsia="黑体"/>
                <w:kern w:val="0"/>
                <w:sz w:val="24"/>
                <w:szCs w:val="24"/>
              </w:rPr>
            </w:pPr>
            <w:r>
              <w:rPr>
                <w:rFonts w:hint="eastAsia" w:ascii="黑体" w:hAnsi="黑体" w:eastAsia="黑体"/>
                <w:kern w:val="0"/>
                <w:sz w:val="24"/>
                <w:szCs w:val="24"/>
              </w:rPr>
              <w:t>扣分</w:t>
            </w:r>
          </w:p>
        </w:tc>
        <w:tc>
          <w:tcPr>
            <w:tcW w:w="709" w:type="dxa"/>
            <w:vAlign w:val="center"/>
          </w:tcPr>
          <w:p w14:paraId="2F9631AF">
            <w:pPr>
              <w:widowControl/>
              <w:adjustRightInd w:val="0"/>
              <w:snapToGrid w:val="0"/>
              <w:spacing w:line="600" w:lineRule="exact"/>
              <w:jc w:val="center"/>
              <w:rPr>
                <w:rFonts w:ascii="黑体" w:hAnsi="黑体" w:eastAsia="黑体"/>
                <w:kern w:val="0"/>
                <w:sz w:val="24"/>
                <w:szCs w:val="24"/>
              </w:rPr>
            </w:pPr>
            <w:r>
              <w:rPr>
                <w:rFonts w:hint="eastAsia" w:ascii="黑体" w:hAnsi="黑体" w:eastAsia="黑体"/>
                <w:kern w:val="0"/>
                <w:sz w:val="24"/>
                <w:szCs w:val="24"/>
              </w:rPr>
              <w:t>得分</w:t>
            </w:r>
          </w:p>
        </w:tc>
      </w:tr>
      <w:tr w14:paraId="65A1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1C44CAA">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1</w:t>
            </w:r>
          </w:p>
        </w:tc>
        <w:tc>
          <w:tcPr>
            <w:tcW w:w="1374" w:type="dxa"/>
            <w:vMerge w:val="restart"/>
            <w:vAlign w:val="center"/>
          </w:tcPr>
          <w:p w14:paraId="1E65A618">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履行职责评价</w:t>
            </w:r>
          </w:p>
          <w:p w14:paraId="5793E9E0">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（30分）</w:t>
            </w:r>
          </w:p>
        </w:tc>
        <w:tc>
          <w:tcPr>
            <w:tcW w:w="4591" w:type="dxa"/>
            <w:vAlign w:val="center"/>
          </w:tcPr>
          <w:p w14:paraId="45DC0BF6">
            <w:pPr>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聘任单位通过政府法律顾问提供的联系方式，无法正常联系并交办任务的，每次扣5-10分</w:t>
            </w:r>
          </w:p>
        </w:tc>
        <w:tc>
          <w:tcPr>
            <w:tcW w:w="703" w:type="dxa"/>
            <w:vAlign w:val="center"/>
          </w:tcPr>
          <w:p w14:paraId="38ED266E">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3" w:type="dxa"/>
            <w:vAlign w:val="center"/>
          </w:tcPr>
          <w:p w14:paraId="4C342283">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2633636F">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4B66611E">
            <w:pPr>
              <w:widowControl/>
              <w:adjustRightInd w:val="0"/>
              <w:snapToGrid w:val="0"/>
              <w:spacing w:line="600" w:lineRule="exact"/>
              <w:jc w:val="center"/>
              <w:rPr>
                <w:rFonts w:ascii="Times New Roman" w:hAnsi="Times New Roman" w:eastAsia="宋体" w:cs="Times New Roman"/>
                <w:color w:val="666666"/>
                <w:kern w:val="0"/>
                <w:sz w:val="24"/>
                <w:szCs w:val="24"/>
              </w:rPr>
            </w:pPr>
          </w:p>
        </w:tc>
      </w:tr>
      <w:tr w14:paraId="26C1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76A93E1A">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2</w:t>
            </w:r>
          </w:p>
        </w:tc>
        <w:tc>
          <w:tcPr>
            <w:tcW w:w="1374" w:type="dxa"/>
            <w:vMerge w:val="continue"/>
            <w:vAlign w:val="center"/>
          </w:tcPr>
          <w:p w14:paraId="2DC1844D">
            <w:pPr>
              <w:widowControl/>
              <w:adjustRightInd w:val="0"/>
              <w:snapToGrid w:val="0"/>
              <w:spacing w:line="600" w:lineRule="exact"/>
              <w:jc w:val="center"/>
              <w:rPr>
                <w:rFonts w:ascii="仿宋_GB2312" w:eastAsia="仿宋_GB2312"/>
                <w:kern w:val="0"/>
                <w:sz w:val="24"/>
                <w:szCs w:val="24"/>
              </w:rPr>
            </w:pPr>
          </w:p>
        </w:tc>
        <w:tc>
          <w:tcPr>
            <w:tcW w:w="4591" w:type="dxa"/>
            <w:vAlign w:val="center"/>
          </w:tcPr>
          <w:p w14:paraId="5858743D">
            <w:pPr>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无正当理由，不参加聘任单位会议或活动的，每次扣5-10分</w:t>
            </w:r>
          </w:p>
        </w:tc>
        <w:tc>
          <w:tcPr>
            <w:tcW w:w="703" w:type="dxa"/>
            <w:vAlign w:val="center"/>
          </w:tcPr>
          <w:p w14:paraId="05072798">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3" w:type="dxa"/>
            <w:vAlign w:val="center"/>
          </w:tcPr>
          <w:p w14:paraId="4F834ED4">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0E44EB32">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79F4BEC7">
            <w:pPr>
              <w:widowControl/>
              <w:adjustRightInd w:val="0"/>
              <w:snapToGrid w:val="0"/>
              <w:spacing w:line="600" w:lineRule="exact"/>
              <w:jc w:val="center"/>
              <w:rPr>
                <w:rFonts w:ascii="Times New Roman" w:hAnsi="Times New Roman" w:eastAsia="宋体" w:cs="Times New Roman"/>
                <w:color w:val="666666"/>
                <w:kern w:val="0"/>
                <w:sz w:val="24"/>
                <w:szCs w:val="24"/>
              </w:rPr>
            </w:pPr>
          </w:p>
        </w:tc>
      </w:tr>
      <w:tr w14:paraId="1446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Align w:val="center"/>
          </w:tcPr>
          <w:p w14:paraId="06F73B82">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3</w:t>
            </w:r>
          </w:p>
        </w:tc>
        <w:tc>
          <w:tcPr>
            <w:tcW w:w="1374" w:type="dxa"/>
            <w:vMerge w:val="continue"/>
            <w:vAlign w:val="center"/>
          </w:tcPr>
          <w:p w14:paraId="7FE09A77">
            <w:pPr>
              <w:widowControl/>
              <w:adjustRightInd w:val="0"/>
              <w:snapToGrid w:val="0"/>
              <w:spacing w:line="600" w:lineRule="exact"/>
              <w:jc w:val="center"/>
              <w:rPr>
                <w:rFonts w:ascii="仿宋_GB2312" w:eastAsia="仿宋_GB2312"/>
                <w:kern w:val="0"/>
                <w:sz w:val="24"/>
                <w:szCs w:val="24"/>
              </w:rPr>
            </w:pPr>
          </w:p>
        </w:tc>
        <w:tc>
          <w:tcPr>
            <w:tcW w:w="4591" w:type="dxa"/>
            <w:vAlign w:val="center"/>
          </w:tcPr>
          <w:p w14:paraId="3660F6AA">
            <w:pPr>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无正当理由，未在规定时间内完成聘任单位交办的任务的，每次扣5-10分</w:t>
            </w:r>
          </w:p>
        </w:tc>
        <w:tc>
          <w:tcPr>
            <w:tcW w:w="703" w:type="dxa"/>
            <w:vAlign w:val="center"/>
          </w:tcPr>
          <w:p w14:paraId="19FD00EB">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3" w:type="dxa"/>
            <w:vAlign w:val="center"/>
          </w:tcPr>
          <w:p w14:paraId="43000010">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14E2D2C3">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0D81A781">
            <w:pPr>
              <w:widowControl/>
              <w:adjustRightInd w:val="0"/>
              <w:snapToGrid w:val="0"/>
              <w:spacing w:line="600" w:lineRule="exact"/>
              <w:jc w:val="center"/>
              <w:rPr>
                <w:rFonts w:ascii="Times New Roman" w:hAnsi="Times New Roman" w:eastAsia="宋体" w:cs="Times New Roman"/>
                <w:color w:val="666666"/>
                <w:kern w:val="0"/>
                <w:sz w:val="24"/>
                <w:szCs w:val="24"/>
              </w:rPr>
            </w:pPr>
          </w:p>
        </w:tc>
      </w:tr>
      <w:tr w14:paraId="1254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2166BF1D">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4</w:t>
            </w:r>
          </w:p>
        </w:tc>
        <w:tc>
          <w:tcPr>
            <w:tcW w:w="1374" w:type="dxa"/>
            <w:vMerge w:val="restart"/>
            <w:vAlign w:val="center"/>
          </w:tcPr>
          <w:p w14:paraId="314347EF">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服务质量评价</w:t>
            </w:r>
          </w:p>
          <w:p w14:paraId="2D6E775F">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（40分）</w:t>
            </w:r>
          </w:p>
        </w:tc>
        <w:tc>
          <w:tcPr>
            <w:tcW w:w="4591" w:type="dxa"/>
            <w:vAlign w:val="center"/>
          </w:tcPr>
          <w:p w14:paraId="517BE5E8">
            <w:pPr>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在行政规范性文件以及其他涉法文件合法性审查中，对文件中存在的主体不适格、超越法定权限、内容和程序违法等严重问题未发现指出的，每次扣5-10分</w:t>
            </w:r>
          </w:p>
        </w:tc>
        <w:tc>
          <w:tcPr>
            <w:tcW w:w="703" w:type="dxa"/>
            <w:vAlign w:val="center"/>
          </w:tcPr>
          <w:p w14:paraId="0B0C8240">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3" w:type="dxa"/>
            <w:vAlign w:val="center"/>
          </w:tcPr>
          <w:p w14:paraId="2DD0A7FF">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17DC8C0E">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01F9DF93">
            <w:pPr>
              <w:widowControl/>
              <w:adjustRightInd w:val="0"/>
              <w:snapToGrid w:val="0"/>
              <w:spacing w:line="600" w:lineRule="exact"/>
              <w:jc w:val="center"/>
              <w:rPr>
                <w:rFonts w:ascii="Times New Roman" w:hAnsi="Times New Roman" w:eastAsia="宋体" w:cs="Times New Roman"/>
                <w:color w:val="666666"/>
                <w:kern w:val="0"/>
                <w:sz w:val="24"/>
                <w:szCs w:val="24"/>
              </w:rPr>
            </w:pPr>
          </w:p>
        </w:tc>
      </w:tr>
      <w:tr w14:paraId="074D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F229B80">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5</w:t>
            </w:r>
          </w:p>
        </w:tc>
        <w:tc>
          <w:tcPr>
            <w:tcW w:w="1374" w:type="dxa"/>
            <w:vMerge w:val="continue"/>
            <w:vAlign w:val="center"/>
          </w:tcPr>
          <w:p w14:paraId="4CC952CD">
            <w:pPr>
              <w:widowControl/>
              <w:adjustRightInd w:val="0"/>
              <w:snapToGrid w:val="0"/>
              <w:spacing w:line="600" w:lineRule="exact"/>
              <w:jc w:val="center"/>
              <w:rPr>
                <w:rFonts w:ascii="仿宋_GB2312" w:eastAsia="仿宋_GB2312"/>
                <w:kern w:val="0"/>
                <w:sz w:val="24"/>
                <w:szCs w:val="24"/>
              </w:rPr>
            </w:pPr>
          </w:p>
        </w:tc>
        <w:tc>
          <w:tcPr>
            <w:tcW w:w="4591" w:type="dxa"/>
            <w:vAlign w:val="center"/>
          </w:tcPr>
          <w:p w14:paraId="73FF7970">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在重大行政决策合法性审查中，对决策中存在的超越法定权限、内容和程序违法等严重问题未发现指出的，每次扣5-10分</w:t>
            </w:r>
          </w:p>
        </w:tc>
        <w:tc>
          <w:tcPr>
            <w:tcW w:w="703" w:type="dxa"/>
            <w:vAlign w:val="center"/>
          </w:tcPr>
          <w:p w14:paraId="093FB5A5">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3" w:type="dxa"/>
            <w:vAlign w:val="center"/>
          </w:tcPr>
          <w:p w14:paraId="54D3D392">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37A39F7A">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3919B76C">
            <w:pPr>
              <w:widowControl/>
              <w:adjustRightInd w:val="0"/>
              <w:snapToGrid w:val="0"/>
              <w:spacing w:line="600" w:lineRule="exact"/>
              <w:jc w:val="center"/>
              <w:rPr>
                <w:rFonts w:ascii="Times New Roman" w:hAnsi="Times New Roman" w:eastAsia="宋体" w:cs="Times New Roman"/>
                <w:color w:val="666666"/>
                <w:kern w:val="0"/>
                <w:sz w:val="24"/>
                <w:szCs w:val="24"/>
              </w:rPr>
            </w:pPr>
          </w:p>
        </w:tc>
      </w:tr>
      <w:tr w14:paraId="6FD8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C0C3199">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6</w:t>
            </w:r>
          </w:p>
        </w:tc>
        <w:tc>
          <w:tcPr>
            <w:tcW w:w="1374" w:type="dxa"/>
            <w:vMerge w:val="continue"/>
            <w:vAlign w:val="center"/>
          </w:tcPr>
          <w:p w14:paraId="516DD301">
            <w:pPr>
              <w:widowControl/>
              <w:adjustRightInd w:val="0"/>
              <w:snapToGrid w:val="0"/>
              <w:spacing w:line="600" w:lineRule="exact"/>
              <w:jc w:val="center"/>
              <w:rPr>
                <w:rFonts w:ascii="仿宋_GB2312" w:eastAsia="仿宋_GB2312"/>
                <w:kern w:val="0"/>
                <w:sz w:val="24"/>
                <w:szCs w:val="24"/>
              </w:rPr>
            </w:pPr>
          </w:p>
        </w:tc>
        <w:tc>
          <w:tcPr>
            <w:tcW w:w="4591" w:type="dxa"/>
            <w:vAlign w:val="center"/>
          </w:tcPr>
          <w:p w14:paraId="36460077">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在合同合法性审查中，对合同文本中存在的重大法律风险未发现指出的，每次扣5-10分</w:t>
            </w:r>
          </w:p>
        </w:tc>
        <w:tc>
          <w:tcPr>
            <w:tcW w:w="703" w:type="dxa"/>
            <w:vAlign w:val="center"/>
          </w:tcPr>
          <w:p w14:paraId="40A3891C">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3" w:type="dxa"/>
            <w:vAlign w:val="center"/>
          </w:tcPr>
          <w:p w14:paraId="18907516">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2B204615">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0C797D30">
            <w:pPr>
              <w:widowControl/>
              <w:adjustRightInd w:val="0"/>
              <w:snapToGrid w:val="0"/>
              <w:spacing w:line="600" w:lineRule="exact"/>
              <w:jc w:val="center"/>
              <w:rPr>
                <w:rFonts w:ascii="Times New Roman" w:hAnsi="Times New Roman" w:eastAsia="宋体" w:cs="Times New Roman"/>
                <w:color w:val="666666"/>
                <w:kern w:val="0"/>
                <w:sz w:val="24"/>
                <w:szCs w:val="24"/>
              </w:rPr>
            </w:pPr>
          </w:p>
        </w:tc>
      </w:tr>
      <w:tr w14:paraId="3696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Align w:val="center"/>
          </w:tcPr>
          <w:p w14:paraId="0C5408A4">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7</w:t>
            </w:r>
          </w:p>
        </w:tc>
        <w:tc>
          <w:tcPr>
            <w:tcW w:w="1374" w:type="dxa"/>
            <w:vMerge w:val="continue"/>
            <w:vAlign w:val="center"/>
          </w:tcPr>
          <w:p w14:paraId="5A37F011">
            <w:pPr>
              <w:widowControl/>
              <w:adjustRightInd w:val="0"/>
              <w:snapToGrid w:val="0"/>
              <w:spacing w:line="600" w:lineRule="exact"/>
              <w:jc w:val="center"/>
              <w:rPr>
                <w:rFonts w:ascii="仿宋_GB2312" w:eastAsia="仿宋_GB2312"/>
                <w:kern w:val="0"/>
                <w:sz w:val="24"/>
                <w:szCs w:val="24"/>
              </w:rPr>
            </w:pPr>
          </w:p>
        </w:tc>
        <w:tc>
          <w:tcPr>
            <w:tcW w:w="4591" w:type="dxa"/>
            <w:vAlign w:val="center"/>
          </w:tcPr>
          <w:p w14:paraId="4DAAF169">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在行政执法决定合法性审查中，对行政执法决定中存在主体不适格、超越法定权限、法律适用错误以及执法程序等方面存在严重问题未发现指出的，每次扣5-10分</w:t>
            </w:r>
          </w:p>
        </w:tc>
        <w:tc>
          <w:tcPr>
            <w:tcW w:w="703" w:type="dxa"/>
            <w:vAlign w:val="center"/>
          </w:tcPr>
          <w:p w14:paraId="138ACB0A">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3" w:type="dxa"/>
            <w:vAlign w:val="center"/>
          </w:tcPr>
          <w:p w14:paraId="3E29CBB6">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479AEDFB">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27590957">
            <w:pPr>
              <w:widowControl/>
              <w:adjustRightInd w:val="0"/>
              <w:snapToGrid w:val="0"/>
              <w:spacing w:line="600" w:lineRule="exact"/>
              <w:jc w:val="center"/>
              <w:rPr>
                <w:rFonts w:ascii="Times New Roman" w:hAnsi="Times New Roman" w:eastAsia="宋体" w:cs="Times New Roman"/>
                <w:color w:val="666666"/>
                <w:kern w:val="0"/>
                <w:sz w:val="24"/>
                <w:szCs w:val="24"/>
              </w:rPr>
            </w:pPr>
          </w:p>
        </w:tc>
      </w:tr>
      <w:tr w14:paraId="06C0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423BBDC">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8</w:t>
            </w:r>
          </w:p>
        </w:tc>
        <w:tc>
          <w:tcPr>
            <w:tcW w:w="1374" w:type="dxa"/>
            <w:vMerge w:val="continue"/>
            <w:vAlign w:val="center"/>
          </w:tcPr>
          <w:p w14:paraId="06683ED9">
            <w:pPr>
              <w:widowControl/>
              <w:adjustRightInd w:val="0"/>
              <w:snapToGrid w:val="0"/>
              <w:spacing w:line="600" w:lineRule="exact"/>
              <w:jc w:val="center"/>
              <w:rPr>
                <w:rFonts w:ascii="仿宋_GB2312" w:eastAsia="仿宋_GB2312"/>
                <w:kern w:val="0"/>
                <w:sz w:val="24"/>
                <w:szCs w:val="24"/>
              </w:rPr>
            </w:pPr>
          </w:p>
        </w:tc>
        <w:tc>
          <w:tcPr>
            <w:tcW w:w="4591" w:type="dxa"/>
            <w:vAlign w:val="center"/>
          </w:tcPr>
          <w:p w14:paraId="0B80B3F1">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办理聘任单位交办或者委托的法律事务，因履职不到位导致行政复议纠错、行政诉讼败诉的，每次扣20分；造成重大法治案事件、群体性事件或者重大负面舆情的，每次扣20分</w:t>
            </w:r>
          </w:p>
        </w:tc>
        <w:tc>
          <w:tcPr>
            <w:tcW w:w="703" w:type="dxa"/>
            <w:vAlign w:val="center"/>
          </w:tcPr>
          <w:p w14:paraId="39632696">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3" w:type="dxa"/>
            <w:vAlign w:val="center"/>
          </w:tcPr>
          <w:p w14:paraId="465611A4">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397C5ED4">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0BC28927">
            <w:pPr>
              <w:widowControl/>
              <w:adjustRightInd w:val="0"/>
              <w:snapToGrid w:val="0"/>
              <w:spacing w:line="600" w:lineRule="exact"/>
              <w:jc w:val="center"/>
              <w:rPr>
                <w:rFonts w:ascii="Times New Roman" w:hAnsi="Times New Roman" w:eastAsia="宋体" w:cs="Times New Roman"/>
                <w:color w:val="666666"/>
                <w:kern w:val="0"/>
                <w:sz w:val="24"/>
                <w:szCs w:val="24"/>
              </w:rPr>
            </w:pPr>
          </w:p>
        </w:tc>
      </w:tr>
      <w:tr w14:paraId="5445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F42AFA4">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9</w:t>
            </w:r>
          </w:p>
        </w:tc>
        <w:tc>
          <w:tcPr>
            <w:tcW w:w="1374" w:type="dxa"/>
            <w:vMerge w:val="restart"/>
            <w:vAlign w:val="center"/>
          </w:tcPr>
          <w:p w14:paraId="0842258A">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遵守纪律评价</w:t>
            </w:r>
          </w:p>
          <w:p w14:paraId="03619E98">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（30分）</w:t>
            </w:r>
          </w:p>
        </w:tc>
        <w:tc>
          <w:tcPr>
            <w:tcW w:w="4591" w:type="dxa"/>
            <w:vAlign w:val="center"/>
          </w:tcPr>
          <w:p w14:paraId="50AAED61">
            <w:pPr>
              <w:pStyle w:val="15"/>
              <w:spacing w:before="0" w:beforeAutospacing="0" w:after="0" w:afterAutospacing="0" w:line="620" w:lineRule="atLeast"/>
              <w:jc w:val="center"/>
              <w:rPr>
                <w:rFonts w:ascii="等线" w:eastAsia="等线"/>
                <w:color w:val="333333"/>
                <w:sz w:val="21"/>
                <w:szCs w:val="21"/>
              </w:rPr>
            </w:pPr>
            <w:r>
              <w:rPr>
                <w:rFonts w:hint="eastAsia" w:ascii="仿宋_GB2312" w:eastAsia="仿宋_GB2312"/>
              </w:rPr>
              <w:t>未按照《苏州市吴江区政府法律顾问工作管理办法》履行报告义务的，扣5-10分</w:t>
            </w:r>
          </w:p>
        </w:tc>
        <w:tc>
          <w:tcPr>
            <w:tcW w:w="703" w:type="dxa"/>
            <w:vAlign w:val="center"/>
          </w:tcPr>
          <w:p w14:paraId="4916CB09">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3" w:type="dxa"/>
            <w:vAlign w:val="center"/>
          </w:tcPr>
          <w:p w14:paraId="6DE175C6">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194BDCD8">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779B767D">
            <w:pPr>
              <w:widowControl/>
              <w:adjustRightInd w:val="0"/>
              <w:snapToGrid w:val="0"/>
              <w:spacing w:line="600" w:lineRule="exact"/>
              <w:jc w:val="center"/>
              <w:rPr>
                <w:rFonts w:ascii="Times New Roman" w:hAnsi="Times New Roman" w:eastAsia="宋体" w:cs="Times New Roman"/>
                <w:color w:val="666666"/>
                <w:kern w:val="0"/>
                <w:sz w:val="24"/>
                <w:szCs w:val="24"/>
              </w:rPr>
            </w:pPr>
          </w:p>
        </w:tc>
      </w:tr>
      <w:tr w14:paraId="164C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259A105">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10</w:t>
            </w:r>
          </w:p>
        </w:tc>
        <w:tc>
          <w:tcPr>
            <w:tcW w:w="1374" w:type="dxa"/>
            <w:vMerge w:val="continue"/>
            <w:vAlign w:val="center"/>
          </w:tcPr>
          <w:p w14:paraId="02D24CD9">
            <w:pPr>
              <w:widowControl/>
              <w:adjustRightInd w:val="0"/>
              <w:snapToGrid w:val="0"/>
              <w:spacing w:line="600" w:lineRule="exact"/>
              <w:jc w:val="center"/>
              <w:rPr>
                <w:rFonts w:ascii="仿宋_GB2312" w:eastAsia="仿宋_GB2312"/>
                <w:kern w:val="0"/>
                <w:sz w:val="24"/>
                <w:szCs w:val="24"/>
              </w:rPr>
            </w:pPr>
          </w:p>
        </w:tc>
        <w:tc>
          <w:tcPr>
            <w:tcW w:w="4591" w:type="dxa"/>
            <w:vAlign w:val="center"/>
          </w:tcPr>
          <w:p w14:paraId="7CB2A9F1">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无正当理由逾期不提交或不补正不符合要求的工作履职报告的，扣5-10分</w:t>
            </w:r>
          </w:p>
        </w:tc>
        <w:tc>
          <w:tcPr>
            <w:tcW w:w="703" w:type="dxa"/>
            <w:vAlign w:val="center"/>
          </w:tcPr>
          <w:p w14:paraId="1A8F5AE6">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3" w:type="dxa"/>
            <w:vAlign w:val="center"/>
          </w:tcPr>
          <w:p w14:paraId="7883E047">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2107783F">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04E1118B">
            <w:pPr>
              <w:widowControl/>
              <w:adjustRightInd w:val="0"/>
              <w:snapToGrid w:val="0"/>
              <w:spacing w:line="600" w:lineRule="exact"/>
              <w:jc w:val="center"/>
              <w:rPr>
                <w:rFonts w:ascii="Times New Roman" w:hAnsi="Times New Roman" w:eastAsia="宋体" w:cs="Times New Roman"/>
                <w:color w:val="666666"/>
                <w:kern w:val="0"/>
                <w:sz w:val="24"/>
                <w:szCs w:val="24"/>
              </w:rPr>
            </w:pPr>
          </w:p>
        </w:tc>
      </w:tr>
      <w:tr w14:paraId="71C0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Align w:val="center"/>
          </w:tcPr>
          <w:p w14:paraId="69BA72D7">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11</w:t>
            </w:r>
          </w:p>
        </w:tc>
        <w:tc>
          <w:tcPr>
            <w:tcW w:w="1374" w:type="dxa"/>
            <w:vMerge w:val="continue"/>
            <w:vAlign w:val="center"/>
          </w:tcPr>
          <w:p w14:paraId="3655632C">
            <w:pPr>
              <w:widowControl/>
              <w:adjustRightInd w:val="0"/>
              <w:snapToGrid w:val="0"/>
              <w:spacing w:line="600" w:lineRule="exact"/>
              <w:jc w:val="center"/>
              <w:rPr>
                <w:rFonts w:ascii="仿宋_GB2312" w:eastAsia="仿宋_GB2312"/>
                <w:kern w:val="0"/>
                <w:sz w:val="24"/>
                <w:szCs w:val="24"/>
              </w:rPr>
            </w:pPr>
          </w:p>
        </w:tc>
        <w:tc>
          <w:tcPr>
            <w:tcW w:w="4591" w:type="dxa"/>
            <w:vAlign w:val="center"/>
          </w:tcPr>
          <w:p w14:paraId="7BA65900">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未妥善保管聘任单位提供的证据、材料，造成灭失或信息泄露的，每次扣5-10分</w:t>
            </w:r>
          </w:p>
        </w:tc>
        <w:tc>
          <w:tcPr>
            <w:tcW w:w="703" w:type="dxa"/>
            <w:vAlign w:val="center"/>
          </w:tcPr>
          <w:p w14:paraId="55BC0613">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3" w:type="dxa"/>
            <w:vAlign w:val="center"/>
          </w:tcPr>
          <w:p w14:paraId="72E00AD3">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0BC10EF0">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74EC40F1">
            <w:pPr>
              <w:widowControl/>
              <w:adjustRightInd w:val="0"/>
              <w:snapToGrid w:val="0"/>
              <w:spacing w:line="600" w:lineRule="exact"/>
              <w:jc w:val="center"/>
              <w:rPr>
                <w:rFonts w:ascii="Times New Roman" w:hAnsi="Times New Roman" w:eastAsia="宋体" w:cs="Times New Roman"/>
                <w:color w:val="666666"/>
                <w:kern w:val="0"/>
                <w:sz w:val="24"/>
                <w:szCs w:val="24"/>
              </w:rPr>
            </w:pPr>
          </w:p>
        </w:tc>
      </w:tr>
      <w:tr w14:paraId="7C8B1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52EC4D28">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12</w:t>
            </w:r>
          </w:p>
        </w:tc>
        <w:tc>
          <w:tcPr>
            <w:tcW w:w="1374" w:type="dxa"/>
            <w:vMerge w:val="continue"/>
            <w:vAlign w:val="center"/>
          </w:tcPr>
          <w:p w14:paraId="72D09EEF">
            <w:pPr>
              <w:widowControl/>
              <w:adjustRightInd w:val="0"/>
              <w:snapToGrid w:val="0"/>
              <w:spacing w:line="600" w:lineRule="exact"/>
              <w:jc w:val="center"/>
              <w:rPr>
                <w:rFonts w:ascii="仿宋_GB2312" w:eastAsia="仿宋_GB2312"/>
                <w:kern w:val="0"/>
                <w:sz w:val="24"/>
                <w:szCs w:val="24"/>
              </w:rPr>
            </w:pPr>
          </w:p>
        </w:tc>
        <w:tc>
          <w:tcPr>
            <w:tcW w:w="4591" w:type="dxa"/>
            <w:vAlign w:val="center"/>
          </w:tcPr>
          <w:p w14:paraId="6257EBCA">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因办理法律顾问业务被投诉查实的，每次扣5-10分</w:t>
            </w:r>
          </w:p>
        </w:tc>
        <w:tc>
          <w:tcPr>
            <w:tcW w:w="703" w:type="dxa"/>
            <w:vAlign w:val="center"/>
          </w:tcPr>
          <w:p w14:paraId="22C6409C">
            <w:pPr>
              <w:widowControl/>
              <w:adjustRightInd w:val="0"/>
              <w:snapToGrid w:val="0"/>
              <w:spacing w:line="600" w:lineRule="exact"/>
              <w:jc w:val="center"/>
              <w:rPr>
                <w:rFonts w:ascii="仿宋_GB2312" w:eastAsia="仿宋_GB2312"/>
                <w:kern w:val="0"/>
                <w:sz w:val="24"/>
                <w:szCs w:val="24"/>
              </w:rPr>
            </w:pPr>
          </w:p>
        </w:tc>
        <w:tc>
          <w:tcPr>
            <w:tcW w:w="703" w:type="dxa"/>
            <w:vAlign w:val="center"/>
          </w:tcPr>
          <w:p w14:paraId="60BFDB62">
            <w:pPr>
              <w:widowControl/>
              <w:adjustRightInd w:val="0"/>
              <w:snapToGrid w:val="0"/>
              <w:spacing w:line="600" w:lineRule="exact"/>
              <w:jc w:val="center"/>
              <w:rPr>
                <w:rFonts w:ascii="仿宋_GB2312" w:eastAsia="仿宋_GB2312"/>
                <w:kern w:val="0"/>
                <w:sz w:val="24"/>
                <w:szCs w:val="24"/>
              </w:rPr>
            </w:pPr>
          </w:p>
        </w:tc>
        <w:tc>
          <w:tcPr>
            <w:tcW w:w="709" w:type="dxa"/>
            <w:vAlign w:val="center"/>
          </w:tcPr>
          <w:p w14:paraId="02B5EEAD">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603AE0E4">
            <w:pPr>
              <w:widowControl/>
              <w:adjustRightInd w:val="0"/>
              <w:snapToGrid w:val="0"/>
              <w:spacing w:line="600" w:lineRule="exact"/>
              <w:jc w:val="center"/>
              <w:rPr>
                <w:rFonts w:ascii="Times New Roman" w:hAnsi="Times New Roman" w:eastAsia="宋体" w:cs="Times New Roman"/>
                <w:color w:val="666666"/>
                <w:kern w:val="0"/>
                <w:sz w:val="24"/>
                <w:szCs w:val="24"/>
              </w:rPr>
            </w:pPr>
          </w:p>
        </w:tc>
      </w:tr>
      <w:tr w14:paraId="15DB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75239DC">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13</w:t>
            </w:r>
          </w:p>
        </w:tc>
        <w:tc>
          <w:tcPr>
            <w:tcW w:w="1374" w:type="dxa"/>
            <w:vMerge w:val="continue"/>
            <w:vAlign w:val="center"/>
          </w:tcPr>
          <w:p w14:paraId="4D71CA1D">
            <w:pPr>
              <w:widowControl/>
              <w:adjustRightInd w:val="0"/>
              <w:snapToGrid w:val="0"/>
              <w:spacing w:line="600" w:lineRule="exact"/>
              <w:jc w:val="center"/>
              <w:rPr>
                <w:rFonts w:ascii="仿宋_GB2312" w:eastAsia="仿宋_GB2312"/>
                <w:kern w:val="0"/>
                <w:sz w:val="24"/>
                <w:szCs w:val="24"/>
              </w:rPr>
            </w:pPr>
          </w:p>
        </w:tc>
        <w:tc>
          <w:tcPr>
            <w:tcW w:w="4591" w:type="dxa"/>
            <w:vAlign w:val="center"/>
          </w:tcPr>
          <w:p w14:paraId="50009AA6">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以政府法律顾问名义对外进行经营性宣传或者招揽业务的，每次扣5-10分</w:t>
            </w:r>
          </w:p>
        </w:tc>
        <w:tc>
          <w:tcPr>
            <w:tcW w:w="703" w:type="dxa"/>
            <w:vAlign w:val="center"/>
          </w:tcPr>
          <w:p w14:paraId="1C09AA61">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3" w:type="dxa"/>
            <w:vAlign w:val="center"/>
          </w:tcPr>
          <w:p w14:paraId="5BBF602D">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291B6D62">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69D5DF4F">
            <w:pPr>
              <w:widowControl/>
              <w:adjustRightInd w:val="0"/>
              <w:snapToGrid w:val="0"/>
              <w:spacing w:line="600" w:lineRule="exact"/>
              <w:jc w:val="center"/>
              <w:rPr>
                <w:rFonts w:ascii="Times New Roman" w:hAnsi="Times New Roman" w:eastAsia="宋体" w:cs="Times New Roman"/>
                <w:color w:val="666666"/>
                <w:kern w:val="0"/>
                <w:sz w:val="24"/>
                <w:szCs w:val="24"/>
              </w:rPr>
            </w:pPr>
          </w:p>
        </w:tc>
      </w:tr>
      <w:tr w14:paraId="71AF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76899A6">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14</w:t>
            </w:r>
          </w:p>
        </w:tc>
        <w:tc>
          <w:tcPr>
            <w:tcW w:w="1374" w:type="dxa"/>
            <w:vMerge w:val="restart"/>
            <w:vAlign w:val="center"/>
          </w:tcPr>
          <w:p w14:paraId="58E5342F">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加分项</w:t>
            </w:r>
          </w:p>
          <w:p w14:paraId="316C7352">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（10分）</w:t>
            </w:r>
          </w:p>
        </w:tc>
        <w:tc>
          <w:tcPr>
            <w:tcW w:w="4591" w:type="dxa"/>
            <w:vAlign w:val="center"/>
          </w:tcPr>
          <w:p w14:paraId="0CC25253">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提出的法律意见建议或研究成果，被区委、区政府领导批示肯定的，每次加5分</w:t>
            </w:r>
          </w:p>
        </w:tc>
        <w:tc>
          <w:tcPr>
            <w:tcW w:w="703" w:type="dxa"/>
            <w:vAlign w:val="center"/>
          </w:tcPr>
          <w:p w14:paraId="36D12EB6">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3" w:type="dxa"/>
            <w:vAlign w:val="center"/>
          </w:tcPr>
          <w:p w14:paraId="42AEBF8E">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3D0BC39B">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36C7EFD1">
            <w:pPr>
              <w:widowControl/>
              <w:adjustRightInd w:val="0"/>
              <w:snapToGrid w:val="0"/>
              <w:spacing w:line="600" w:lineRule="exact"/>
              <w:jc w:val="center"/>
              <w:rPr>
                <w:rFonts w:ascii="Times New Roman" w:hAnsi="Times New Roman" w:eastAsia="宋体" w:cs="Times New Roman"/>
                <w:color w:val="666666"/>
                <w:kern w:val="0"/>
                <w:sz w:val="24"/>
                <w:szCs w:val="24"/>
              </w:rPr>
            </w:pPr>
          </w:p>
        </w:tc>
      </w:tr>
      <w:tr w14:paraId="38B1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Align w:val="center"/>
          </w:tcPr>
          <w:p w14:paraId="1AA98258">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15</w:t>
            </w:r>
          </w:p>
        </w:tc>
        <w:tc>
          <w:tcPr>
            <w:tcW w:w="1374" w:type="dxa"/>
            <w:vMerge w:val="continue"/>
            <w:vAlign w:val="center"/>
          </w:tcPr>
          <w:p w14:paraId="2FA99830">
            <w:pPr>
              <w:widowControl/>
              <w:adjustRightInd w:val="0"/>
              <w:snapToGrid w:val="0"/>
              <w:spacing w:line="600" w:lineRule="exact"/>
              <w:jc w:val="center"/>
              <w:rPr>
                <w:rFonts w:ascii="仿宋_GB2312" w:eastAsia="仿宋_GB2312"/>
                <w:kern w:val="0"/>
                <w:sz w:val="24"/>
                <w:szCs w:val="24"/>
              </w:rPr>
            </w:pPr>
          </w:p>
        </w:tc>
        <w:tc>
          <w:tcPr>
            <w:tcW w:w="4591" w:type="dxa"/>
            <w:vAlign w:val="center"/>
          </w:tcPr>
          <w:p w14:paraId="4B295F8B">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从事政府法律顾问的经验做法或者对我区法治政府建设情况的调研报告在全国、省级、市级会上交流的，每次分别加5分、3分、2分</w:t>
            </w:r>
          </w:p>
        </w:tc>
        <w:tc>
          <w:tcPr>
            <w:tcW w:w="703" w:type="dxa"/>
            <w:vAlign w:val="center"/>
          </w:tcPr>
          <w:p w14:paraId="27C7617A">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3" w:type="dxa"/>
            <w:vAlign w:val="center"/>
          </w:tcPr>
          <w:p w14:paraId="71A78DE3">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5BA08AFB">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5FF036DD">
            <w:pPr>
              <w:widowControl/>
              <w:adjustRightInd w:val="0"/>
              <w:snapToGrid w:val="0"/>
              <w:spacing w:line="600" w:lineRule="exact"/>
              <w:jc w:val="center"/>
              <w:rPr>
                <w:rFonts w:ascii="Times New Roman" w:hAnsi="Times New Roman" w:eastAsia="宋体" w:cs="Times New Roman"/>
                <w:color w:val="666666"/>
                <w:kern w:val="0"/>
                <w:sz w:val="24"/>
                <w:szCs w:val="24"/>
              </w:rPr>
            </w:pPr>
          </w:p>
        </w:tc>
      </w:tr>
      <w:tr w14:paraId="58AF8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364E978">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16</w:t>
            </w:r>
          </w:p>
        </w:tc>
        <w:tc>
          <w:tcPr>
            <w:tcW w:w="1374" w:type="dxa"/>
            <w:vMerge w:val="continue"/>
            <w:vAlign w:val="center"/>
          </w:tcPr>
          <w:p w14:paraId="56A7C6AF">
            <w:pPr>
              <w:widowControl/>
              <w:adjustRightInd w:val="0"/>
              <w:snapToGrid w:val="0"/>
              <w:spacing w:line="600" w:lineRule="exact"/>
              <w:jc w:val="center"/>
              <w:rPr>
                <w:rFonts w:ascii="仿宋_GB2312" w:eastAsia="仿宋_GB2312"/>
                <w:kern w:val="0"/>
                <w:sz w:val="24"/>
                <w:szCs w:val="24"/>
              </w:rPr>
            </w:pPr>
          </w:p>
        </w:tc>
        <w:tc>
          <w:tcPr>
            <w:tcW w:w="4591" w:type="dxa"/>
            <w:vAlign w:val="center"/>
          </w:tcPr>
          <w:p w14:paraId="4BBC3647">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lang w:val="zh-CN"/>
              </w:rPr>
              <w:t>在化解矛盾、纠纷或者处理复议、诉讼案件以及在</w:t>
            </w:r>
            <w:r>
              <w:rPr>
                <w:rFonts w:hint="eastAsia" w:ascii="仿宋_GB2312" w:eastAsia="仿宋_GB2312"/>
                <w:kern w:val="0"/>
                <w:sz w:val="24"/>
                <w:szCs w:val="24"/>
              </w:rPr>
              <w:t>行政</w:t>
            </w:r>
            <w:r>
              <w:rPr>
                <w:rFonts w:hint="eastAsia" w:ascii="仿宋_GB2312" w:eastAsia="仿宋_GB2312"/>
                <w:kern w:val="0"/>
                <w:sz w:val="24"/>
                <w:szCs w:val="24"/>
                <w:lang w:val="zh-CN"/>
              </w:rPr>
              <w:t>规范性文件、</w:t>
            </w:r>
            <w:r>
              <w:rPr>
                <w:rFonts w:hint="eastAsia" w:ascii="仿宋_GB2312" w:eastAsia="仿宋_GB2312"/>
                <w:kern w:val="0"/>
                <w:sz w:val="24"/>
                <w:szCs w:val="24"/>
              </w:rPr>
              <w:t>重大行政决策、政府合同</w:t>
            </w:r>
            <w:r>
              <w:rPr>
                <w:rFonts w:hint="eastAsia" w:ascii="仿宋_GB2312" w:eastAsia="仿宋_GB2312"/>
                <w:kern w:val="0"/>
                <w:sz w:val="24"/>
                <w:szCs w:val="24"/>
                <w:lang w:val="zh-CN"/>
              </w:rPr>
              <w:t>等起草审查等工作中作用突出的，加1-</w:t>
            </w:r>
            <w:r>
              <w:rPr>
                <w:rFonts w:hint="eastAsia" w:ascii="仿宋_GB2312" w:eastAsia="仿宋_GB2312"/>
                <w:kern w:val="0"/>
                <w:sz w:val="24"/>
                <w:szCs w:val="24"/>
              </w:rPr>
              <w:t>5分</w:t>
            </w:r>
          </w:p>
        </w:tc>
        <w:tc>
          <w:tcPr>
            <w:tcW w:w="703" w:type="dxa"/>
            <w:vAlign w:val="center"/>
          </w:tcPr>
          <w:p w14:paraId="520F8421">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3" w:type="dxa"/>
            <w:vAlign w:val="center"/>
          </w:tcPr>
          <w:p w14:paraId="79698E88">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7F0BB696">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3791D0FE">
            <w:pPr>
              <w:widowControl/>
              <w:adjustRightInd w:val="0"/>
              <w:snapToGrid w:val="0"/>
              <w:spacing w:line="600" w:lineRule="exact"/>
              <w:jc w:val="center"/>
              <w:rPr>
                <w:rFonts w:ascii="Times New Roman" w:hAnsi="Times New Roman" w:eastAsia="宋体" w:cs="Times New Roman"/>
                <w:color w:val="666666"/>
                <w:kern w:val="0"/>
                <w:sz w:val="24"/>
                <w:szCs w:val="24"/>
              </w:rPr>
            </w:pPr>
          </w:p>
        </w:tc>
      </w:tr>
      <w:tr w14:paraId="21DD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21D8787B">
            <w:pPr>
              <w:widowControl/>
              <w:adjustRightInd w:val="0"/>
              <w:snapToGrid w:val="0"/>
              <w:spacing w:line="600" w:lineRule="exact"/>
              <w:jc w:val="center"/>
              <w:rPr>
                <w:rFonts w:ascii="仿宋_GB2312" w:eastAsia="仿宋_GB2312"/>
                <w:kern w:val="0"/>
                <w:sz w:val="24"/>
                <w:szCs w:val="24"/>
              </w:rPr>
            </w:pPr>
          </w:p>
        </w:tc>
        <w:tc>
          <w:tcPr>
            <w:tcW w:w="1374" w:type="dxa"/>
            <w:vAlign w:val="center"/>
          </w:tcPr>
          <w:p w14:paraId="3FC53D8A">
            <w:pPr>
              <w:widowControl/>
              <w:adjustRightInd w:val="0"/>
              <w:snapToGrid w:val="0"/>
              <w:spacing w:line="600" w:lineRule="exact"/>
              <w:jc w:val="center"/>
              <w:rPr>
                <w:rFonts w:ascii="仿宋_GB2312" w:eastAsia="仿宋_GB2312"/>
                <w:kern w:val="0"/>
                <w:sz w:val="24"/>
                <w:szCs w:val="24"/>
              </w:rPr>
            </w:pPr>
            <w:r>
              <w:rPr>
                <w:rFonts w:hint="eastAsia" w:ascii="仿宋_GB2312" w:eastAsia="仿宋_GB2312"/>
                <w:kern w:val="0"/>
                <w:sz w:val="24"/>
                <w:szCs w:val="24"/>
              </w:rPr>
              <w:t>总分</w:t>
            </w:r>
          </w:p>
        </w:tc>
        <w:tc>
          <w:tcPr>
            <w:tcW w:w="4591" w:type="dxa"/>
            <w:vAlign w:val="center"/>
          </w:tcPr>
          <w:p w14:paraId="7478BAF4">
            <w:pPr>
              <w:widowControl/>
              <w:adjustRightInd w:val="0"/>
              <w:snapToGrid w:val="0"/>
              <w:spacing w:line="600" w:lineRule="exact"/>
              <w:jc w:val="center"/>
              <w:rPr>
                <w:rFonts w:ascii="仿宋_GB2312" w:eastAsia="仿宋_GB2312"/>
                <w:kern w:val="0"/>
                <w:sz w:val="24"/>
                <w:szCs w:val="24"/>
              </w:rPr>
            </w:pPr>
          </w:p>
        </w:tc>
        <w:tc>
          <w:tcPr>
            <w:tcW w:w="703" w:type="dxa"/>
            <w:vAlign w:val="center"/>
          </w:tcPr>
          <w:p w14:paraId="1D08E3EF">
            <w:pPr>
              <w:widowControl/>
              <w:adjustRightInd w:val="0"/>
              <w:snapToGrid w:val="0"/>
              <w:spacing w:line="600" w:lineRule="exact"/>
              <w:jc w:val="center"/>
              <w:rPr>
                <w:rFonts w:ascii="仿宋_GB2312" w:eastAsia="仿宋_GB2312"/>
                <w:kern w:val="0"/>
                <w:sz w:val="24"/>
                <w:szCs w:val="24"/>
              </w:rPr>
            </w:pPr>
          </w:p>
        </w:tc>
        <w:tc>
          <w:tcPr>
            <w:tcW w:w="703" w:type="dxa"/>
            <w:vAlign w:val="center"/>
          </w:tcPr>
          <w:p w14:paraId="27E4F4A6">
            <w:pPr>
              <w:widowControl/>
              <w:adjustRightInd w:val="0"/>
              <w:snapToGrid w:val="0"/>
              <w:spacing w:line="600" w:lineRule="exact"/>
              <w:jc w:val="center"/>
              <w:rPr>
                <w:rFonts w:ascii="仿宋_GB2312" w:eastAsia="仿宋_GB2312"/>
                <w:kern w:val="0"/>
                <w:sz w:val="24"/>
                <w:szCs w:val="24"/>
              </w:rPr>
            </w:pPr>
          </w:p>
        </w:tc>
        <w:tc>
          <w:tcPr>
            <w:tcW w:w="709" w:type="dxa"/>
            <w:vAlign w:val="center"/>
          </w:tcPr>
          <w:p w14:paraId="07FA979A">
            <w:pPr>
              <w:widowControl/>
              <w:adjustRightInd w:val="0"/>
              <w:snapToGrid w:val="0"/>
              <w:spacing w:line="600" w:lineRule="exact"/>
              <w:jc w:val="center"/>
              <w:rPr>
                <w:rFonts w:ascii="Times New Roman" w:hAnsi="Times New Roman" w:eastAsia="宋体" w:cs="Times New Roman"/>
                <w:color w:val="666666"/>
                <w:kern w:val="0"/>
                <w:sz w:val="24"/>
                <w:szCs w:val="24"/>
              </w:rPr>
            </w:pPr>
          </w:p>
        </w:tc>
        <w:tc>
          <w:tcPr>
            <w:tcW w:w="709" w:type="dxa"/>
            <w:vAlign w:val="center"/>
          </w:tcPr>
          <w:p w14:paraId="5542F1BF">
            <w:pPr>
              <w:widowControl/>
              <w:adjustRightInd w:val="0"/>
              <w:snapToGrid w:val="0"/>
              <w:spacing w:line="600" w:lineRule="exact"/>
              <w:jc w:val="center"/>
              <w:rPr>
                <w:rFonts w:ascii="Times New Roman" w:hAnsi="Times New Roman" w:eastAsia="宋体" w:cs="Times New Roman"/>
                <w:color w:val="666666"/>
                <w:kern w:val="0"/>
                <w:sz w:val="24"/>
                <w:szCs w:val="24"/>
              </w:rPr>
            </w:pPr>
          </w:p>
        </w:tc>
      </w:tr>
    </w:tbl>
    <w:p w14:paraId="01E75547">
      <w:pPr>
        <w:rPr>
          <w:rFonts w:ascii="仿宋_GB2312" w:eastAsia="仿宋_GB2312"/>
          <w:kern w:val="0"/>
          <w:sz w:val="32"/>
          <w:szCs w:val="32"/>
          <w:lang w:val="zh-CN"/>
        </w:rPr>
      </w:pPr>
      <w:r>
        <w:rPr>
          <w:rFonts w:hint="eastAsia" w:ascii="仿宋_GB2312" w:eastAsia="仿宋_GB2312"/>
          <w:kern w:val="0"/>
          <w:sz w:val="32"/>
          <w:szCs w:val="32"/>
          <w:lang w:val="zh-CN"/>
        </w:rPr>
        <w:t>注：每单项扣分或加分分数不得超过该项总分。</w:t>
      </w:r>
    </w:p>
    <w:p w14:paraId="67D2B3C6">
      <w:pPr>
        <w:tabs>
          <w:tab w:val="left" w:pos="5335"/>
        </w:tabs>
        <w:spacing w:line="579" w:lineRule="exact"/>
        <w:ind w:firstLine="640" w:firstLineChars="200"/>
        <w:jc w:val="center"/>
        <w:rPr>
          <w:rFonts w:hint="eastAsia" w:ascii="仿宋_GB2312" w:eastAsia="仿宋_GB2312"/>
          <w:sz w:val="32"/>
          <w:szCs w:val="32"/>
        </w:rPr>
      </w:pPr>
    </w:p>
    <w:p w14:paraId="25535629">
      <w:pPr>
        <w:rPr>
          <w:rFonts w:ascii="仿宋_GB2312" w:eastAsia="仿宋_GB2312"/>
          <w:sz w:val="32"/>
          <w:szCs w:val="32"/>
        </w:rPr>
      </w:pPr>
    </w:p>
    <w:sectPr>
      <w:footerReference r:id="rId5" w:type="default"/>
      <w:footerReference r:id="rId6" w:type="even"/>
      <w:pgSz w:w="11906" w:h="16838"/>
      <w:pgMar w:top="2098" w:right="1474" w:bottom="1701" w:left="1588" w:header="851" w:footer="992" w:gutter="0"/>
      <w:pgNumType w:fmt="numberInDash"/>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仿宋_GB2312">
    <w:altName w:val="CESI仿宋-GB13000"/>
    <w:panose1 w:val="02010609030101010101"/>
    <w:charset w:val="86"/>
    <w:family w:val="auto"/>
    <w:pitch w:val="default"/>
    <w:sig w:usb0="00000000" w:usb1="00000000" w:usb2="00000000" w:usb3="00000000" w:csb0="00040000" w:csb1="00000000"/>
  </w:font>
  <w:font w:name="CESI仿宋-GB13000">
    <w:panose1 w:val="02000500000000000000"/>
    <w:charset w:val="86"/>
    <w:family w:val="auto"/>
    <w:pitch w:val="default"/>
    <w:sig w:usb0="800002BF" w:usb1="18CF7CF8" w:usb2="00000016" w:usb3="00000000" w:csb0="0004000F" w:csb1="00000000"/>
  </w:font>
  <w:font w:name="华文中宋">
    <w:altName w:val="Noto Serif CJK SC"/>
    <w:panose1 w:val="02010600040101010101"/>
    <w:charset w:val="86"/>
    <w:family w:val="auto"/>
    <w:pitch w:val="default"/>
    <w:sig w:usb0="00000000" w:usb1="00000000" w:usb2="00000000" w:usb3="00000000" w:csb0="0004009F" w:csb1="DFD70000"/>
  </w:font>
  <w:font w:name="Noto Serif CJK SC">
    <w:panose1 w:val="02020400000000000000"/>
    <w:charset w:val="86"/>
    <w:family w:val="auto"/>
    <w:pitch w:val="default"/>
    <w:sig w:usb0="30000083" w:usb1="2BDF3C10" w:usb2="00000016" w:usb3="00000000" w:csb0="602E0107" w:csb1="00000000"/>
  </w:font>
  <w:font w:name="楷体_GB2312">
    <w:altName w:val="CESI楷体-GB13000"/>
    <w:panose1 w:val="02010609030101010101"/>
    <w:charset w:val="86"/>
    <w:family w:val="modern"/>
    <w:pitch w:val="default"/>
    <w:sig w:usb0="00000000" w:usb1="00000000" w:usb2="00000000" w:usb3="00000000" w:csb0="00040000" w:csb1="00000000"/>
  </w:font>
  <w:font w:name="CESI楷体-GB13000">
    <w:panose1 w:val="02000500000000000000"/>
    <w:charset w:val="86"/>
    <w:family w:val="auto"/>
    <w:pitch w:val="default"/>
    <w:sig w:usb0="800002BF" w:usb1="38CF7CF8" w:usb2="00000016" w:usb3="00000000" w:csb0="0004000F"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CESI黑体-GB13000">
    <w:panose1 w:val="02000500000000000000"/>
    <w:charset w:val="86"/>
    <w:family w:val="auto"/>
    <w:pitch w:val="default"/>
    <w:sig w:usb0="800002BF" w:usb1="38CF7CF8" w:usb2="00000016" w:usb3="00000000" w:csb0="0004000F" w:csb1="00000000"/>
  </w:font>
  <w:font w:name="方正小标宋_GBK">
    <w:altName w:val="CESI小标宋-GB13000"/>
    <w:panose1 w:val="03000509000000000000"/>
    <w:charset w:val="86"/>
    <w:family w:val="script"/>
    <w:pitch w:val="default"/>
    <w:sig w:usb0="00000000" w:usb1="00000000" w:usb2="00000000" w:usb3="00000000" w:csb0="00040000" w:csb1="00000000"/>
  </w:font>
  <w:font w:name="CESI小标宋-GB13000">
    <w:panose1 w:val="02000500000000000000"/>
    <w:charset w:val="86"/>
    <w:family w:val="auto"/>
    <w:pitch w:val="default"/>
    <w:sig w:usb0="800002BF" w:usb1="18CF7CF8" w:usb2="00000016" w:usb3="00000000" w:csb0="0004000F" w:csb1="00000000"/>
  </w:font>
  <w:font w:name="方正小标宋简体">
    <w:altName w:val="CESI小标宋-GB13000"/>
    <w:panose1 w:val="02010601030101010101"/>
    <w:charset w:val="86"/>
    <w:family w:val="script"/>
    <w:pitch w:val="default"/>
    <w:sig w:usb0="00000000" w:usb1="00000000" w:usb2="00000000" w:usb3="00000000" w:csb0="00040000"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微软雅黑">
    <w:altName w:val="Droid Sans Fallback"/>
    <w:panose1 w:val="020B0503020204020204"/>
    <w:charset w:val="86"/>
    <w:family w:val="auto"/>
    <w:pitch w:val="default"/>
    <w:sig w:usb0="00000000" w:usb1="00000000" w:usb2="00000016" w:usb3="00000000" w:csb0="0004001F" w:csb1="00000000"/>
  </w:font>
  <w:font w:name="C059">
    <w:panose1 w:val="00000500000000000000"/>
    <w:charset w:val="00"/>
    <w:family w:val="auto"/>
    <w:pitch w:val="default"/>
    <w:sig w:usb0="00000287" w:usb1="00000800" w:usb2="00000000" w:usb3="00000000" w:csb0="6000009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68969"/>
      <w:docPartObj>
        <w:docPartGallery w:val="autotext"/>
      </w:docPartObj>
    </w:sdtPr>
    <w:sdtEndPr>
      <w:rPr>
        <w:rFonts w:hint="eastAsia" w:asciiTheme="minorEastAsia" w:hAnsiTheme="minorEastAsia" w:eastAsiaTheme="minorEastAsia"/>
        <w:sz w:val="28"/>
        <w:szCs w:val="28"/>
      </w:rPr>
    </w:sdtEndPr>
    <w:sdtContent>
      <w:p w14:paraId="65F5F166">
        <w:pPr>
          <w:pStyle w:val="11"/>
          <w:ind w:right="360"/>
          <w:jc w:val="right"/>
          <w:rPr>
            <w:rFonts w:asciiTheme="minorEastAsia" w:hAnsiTheme="minorEastAsia" w:eastAsiaTheme="minorEastAsia"/>
            <w:sz w:val="28"/>
            <w:szCs w:val="28"/>
          </w:rPr>
        </w:pPr>
        <w:r>
          <w:rPr>
            <w:rFonts w:hint="eastAsia" w:asciiTheme="minorEastAsia" w:hAnsiTheme="minorEastAsia" w:eastAsiaTheme="minorEastAsia"/>
            <w:sz w:val="28"/>
            <w:szCs w:val="28"/>
          </w:rPr>
          <w:fldChar w:fldCharType="begin"/>
        </w:r>
        <w:r>
          <w:rPr>
            <w:rFonts w:hint="eastAsia" w:asciiTheme="minorEastAsia" w:hAnsiTheme="minorEastAsia" w:eastAsiaTheme="minorEastAsia"/>
            <w:sz w:val="28"/>
            <w:szCs w:val="28"/>
          </w:rPr>
          <w:instrText xml:space="preserve"> PAGE   \* MERGEFORMAT </w:instrText>
        </w:r>
        <w:r>
          <w:rPr>
            <w:rFonts w:hint="eastAsia"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37 -</w:t>
        </w:r>
        <w:r>
          <w:rPr>
            <w:rFonts w:hint="eastAsia" w:asciiTheme="minorEastAsia" w:hAnsiTheme="minorEastAsia" w:eastAsiaTheme="minorEastAsia"/>
            <w:sz w:val="28"/>
            <w:szCs w:val="28"/>
          </w:rPr>
          <w:fldChar w:fldCharType="end"/>
        </w:r>
      </w:p>
    </w:sdtContent>
  </w:sdt>
  <w:p w14:paraId="5979A1E2">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68986"/>
      <w:docPartObj>
        <w:docPartGallery w:val="autotext"/>
      </w:docPartObj>
    </w:sdtPr>
    <w:sdtEndPr>
      <w:rPr>
        <w:rFonts w:asciiTheme="minorEastAsia" w:hAnsiTheme="minorEastAsia" w:eastAsiaTheme="minorEastAsia"/>
        <w:sz w:val="28"/>
        <w:szCs w:val="28"/>
      </w:rPr>
    </w:sdtEndPr>
    <w:sdtContent>
      <w:p w14:paraId="5EDB052C">
        <w:pPr>
          <w:pStyle w:val="11"/>
          <w:ind w:firstLine="360" w:firstLineChars="200"/>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36 -</w:t>
        </w:r>
        <w:r>
          <w:rPr>
            <w:rFonts w:asciiTheme="minorEastAsia" w:hAnsiTheme="minorEastAsia" w:eastAsiaTheme="minorEastAsia"/>
            <w:sz w:val="28"/>
            <w:szCs w:val="28"/>
          </w:rPr>
          <w:fldChar w:fldCharType="end"/>
        </w:r>
      </w:p>
    </w:sdtContent>
  </w:sdt>
  <w:p w14:paraId="1B6C653E">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E2538"/>
    <w:multiLevelType w:val="singleLevel"/>
    <w:tmpl w:val="4DCE253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wNTQ4MDI3MmJmZDZkOGI1ZWY5MjcyYmFhODU4NjkifQ=="/>
  </w:docVars>
  <w:rsids>
    <w:rsidRoot w:val="002F1B91"/>
    <w:rsid w:val="00073A72"/>
    <w:rsid w:val="000B5A0C"/>
    <w:rsid w:val="000D6625"/>
    <w:rsid w:val="00146D47"/>
    <w:rsid w:val="00150F0A"/>
    <w:rsid w:val="002008DC"/>
    <w:rsid w:val="002129F8"/>
    <w:rsid w:val="00225BD9"/>
    <w:rsid w:val="0022724F"/>
    <w:rsid w:val="00264181"/>
    <w:rsid w:val="002B5C8B"/>
    <w:rsid w:val="002C4A3C"/>
    <w:rsid w:val="002F1B91"/>
    <w:rsid w:val="002F5C9A"/>
    <w:rsid w:val="003255D5"/>
    <w:rsid w:val="00345B9E"/>
    <w:rsid w:val="00357EF1"/>
    <w:rsid w:val="00365561"/>
    <w:rsid w:val="00384825"/>
    <w:rsid w:val="003908BE"/>
    <w:rsid w:val="003B4034"/>
    <w:rsid w:val="00400188"/>
    <w:rsid w:val="00430846"/>
    <w:rsid w:val="00455D7B"/>
    <w:rsid w:val="00460D02"/>
    <w:rsid w:val="00471362"/>
    <w:rsid w:val="004A4A13"/>
    <w:rsid w:val="004B1316"/>
    <w:rsid w:val="004C6BE6"/>
    <w:rsid w:val="004E28CA"/>
    <w:rsid w:val="004E355A"/>
    <w:rsid w:val="005132A9"/>
    <w:rsid w:val="005D320B"/>
    <w:rsid w:val="005F22B0"/>
    <w:rsid w:val="005F5A94"/>
    <w:rsid w:val="00624B44"/>
    <w:rsid w:val="00626B27"/>
    <w:rsid w:val="00687705"/>
    <w:rsid w:val="006A370E"/>
    <w:rsid w:val="006A74E8"/>
    <w:rsid w:val="006D3680"/>
    <w:rsid w:val="006D50DB"/>
    <w:rsid w:val="006D6B5D"/>
    <w:rsid w:val="0071071C"/>
    <w:rsid w:val="00733D7B"/>
    <w:rsid w:val="00736339"/>
    <w:rsid w:val="00741B62"/>
    <w:rsid w:val="0075061D"/>
    <w:rsid w:val="007B6FFE"/>
    <w:rsid w:val="008B6C41"/>
    <w:rsid w:val="00917F03"/>
    <w:rsid w:val="00922348"/>
    <w:rsid w:val="00946588"/>
    <w:rsid w:val="00950436"/>
    <w:rsid w:val="009A09DF"/>
    <w:rsid w:val="009A1B34"/>
    <w:rsid w:val="009D6E05"/>
    <w:rsid w:val="00A54C78"/>
    <w:rsid w:val="00A55964"/>
    <w:rsid w:val="00AC6351"/>
    <w:rsid w:val="00AD44A3"/>
    <w:rsid w:val="00AD731F"/>
    <w:rsid w:val="00AF0E1F"/>
    <w:rsid w:val="00B02FA2"/>
    <w:rsid w:val="00B22C7E"/>
    <w:rsid w:val="00B61B1C"/>
    <w:rsid w:val="00B628ED"/>
    <w:rsid w:val="00B95FC5"/>
    <w:rsid w:val="00BB207B"/>
    <w:rsid w:val="00C43470"/>
    <w:rsid w:val="00C46C5A"/>
    <w:rsid w:val="00C83B0E"/>
    <w:rsid w:val="00C843CD"/>
    <w:rsid w:val="00C9750D"/>
    <w:rsid w:val="00CC5C92"/>
    <w:rsid w:val="00D350C7"/>
    <w:rsid w:val="00D5194C"/>
    <w:rsid w:val="00D5775A"/>
    <w:rsid w:val="00DA2631"/>
    <w:rsid w:val="00DC36A8"/>
    <w:rsid w:val="00DF0CB4"/>
    <w:rsid w:val="00DF2270"/>
    <w:rsid w:val="00E0006B"/>
    <w:rsid w:val="00E00970"/>
    <w:rsid w:val="00E05839"/>
    <w:rsid w:val="00E16147"/>
    <w:rsid w:val="00E220EC"/>
    <w:rsid w:val="00E37803"/>
    <w:rsid w:val="00E51882"/>
    <w:rsid w:val="00E82D85"/>
    <w:rsid w:val="00EB2A2D"/>
    <w:rsid w:val="00F00EB1"/>
    <w:rsid w:val="00F2152D"/>
    <w:rsid w:val="00F74586"/>
    <w:rsid w:val="00F8647A"/>
    <w:rsid w:val="00FC1B68"/>
    <w:rsid w:val="00FD450C"/>
    <w:rsid w:val="00FE6557"/>
    <w:rsid w:val="1A8C4D85"/>
    <w:rsid w:val="2099122F"/>
    <w:rsid w:val="258731AE"/>
    <w:rsid w:val="269A3694"/>
    <w:rsid w:val="2FA01DFC"/>
    <w:rsid w:val="30DF67EA"/>
    <w:rsid w:val="3BE83DA0"/>
    <w:rsid w:val="3EAD5D51"/>
    <w:rsid w:val="4E1C1BC2"/>
    <w:rsid w:val="533A0528"/>
    <w:rsid w:val="5A4129B3"/>
    <w:rsid w:val="5C3F0A59"/>
    <w:rsid w:val="64E262CE"/>
    <w:rsid w:val="68A04D23"/>
    <w:rsid w:val="6CCA7D73"/>
    <w:rsid w:val="6F100F6A"/>
    <w:rsid w:val="7EFF46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0"/>
    <w:pPr>
      <w:keepNext/>
      <w:keepLines/>
      <w:spacing w:before="340" w:after="330" w:line="576" w:lineRule="auto"/>
      <w:outlineLvl w:val="0"/>
    </w:pPr>
    <w:rPr>
      <w:b/>
      <w:bCs/>
      <w:kern w:val="44"/>
      <w:sz w:val="44"/>
      <w:szCs w:val="4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ind w:firstLine="420" w:firstLineChars="200"/>
    </w:pPr>
  </w:style>
  <w:style w:type="paragraph" w:styleId="4">
    <w:name w:val="Body Text 3"/>
    <w:basedOn w:val="1"/>
    <w:link w:val="32"/>
    <w:qFormat/>
    <w:uiPriority w:val="0"/>
    <w:pPr>
      <w:widowControl/>
      <w:spacing w:line="480" w:lineRule="atLeast"/>
    </w:pPr>
    <w:rPr>
      <w:rFonts w:ascii="仿宋_GB2312" w:eastAsia="仿宋_GB2312"/>
      <w:kern w:val="0"/>
      <w:sz w:val="30"/>
      <w:szCs w:val="20"/>
    </w:rPr>
  </w:style>
  <w:style w:type="paragraph" w:styleId="5">
    <w:name w:val="Body Text"/>
    <w:basedOn w:val="1"/>
    <w:link w:val="31"/>
    <w:qFormat/>
    <w:uiPriority w:val="0"/>
    <w:rPr>
      <w:rFonts w:ascii="仿宋_GB2312" w:hAnsi="华文中宋" w:eastAsia="仿宋_GB2312"/>
      <w:color w:val="000000"/>
      <w:kern w:val="0"/>
      <w:sz w:val="32"/>
      <w:szCs w:val="20"/>
      <w:shd w:val="clear" w:color="auto" w:fill="FFFFFF"/>
    </w:rPr>
  </w:style>
  <w:style w:type="paragraph" w:styleId="6">
    <w:name w:val="Body Text Indent"/>
    <w:basedOn w:val="1"/>
    <w:link w:val="28"/>
    <w:qFormat/>
    <w:uiPriority w:val="0"/>
    <w:pPr>
      <w:spacing w:line="540" w:lineRule="exact"/>
      <w:ind w:firstLine="600"/>
    </w:pPr>
    <w:rPr>
      <w:rFonts w:ascii="楷体_GB2312" w:eastAsia="楷体_GB2312"/>
      <w:kern w:val="0"/>
      <w:sz w:val="32"/>
      <w:szCs w:val="20"/>
    </w:rPr>
  </w:style>
  <w:style w:type="paragraph" w:styleId="7">
    <w:name w:val="Plain Text"/>
    <w:basedOn w:val="1"/>
    <w:link w:val="29"/>
    <w:qFormat/>
    <w:uiPriority w:val="0"/>
    <w:rPr>
      <w:rFonts w:ascii="宋体" w:hAnsi="Courier New"/>
      <w:kern w:val="0"/>
      <w:sz w:val="20"/>
      <w:szCs w:val="21"/>
    </w:rPr>
  </w:style>
  <w:style w:type="paragraph" w:styleId="8">
    <w:name w:val="Date"/>
    <w:basedOn w:val="1"/>
    <w:next w:val="1"/>
    <w:link w:val="27"/>
    <w:unhideWhenUsed/>
    <w:qFormat/>
    <w:uiPriority w:val="0"/>
    <w:pPr>
      <w:ind w:left="100" w:leftChars="2500"/>
    </w:pPr>
    <w:rPr>
      <w:rFonts w:ascii="Calibri" w:hAnsi="Calibri"/>
      <w:szCs w:val="22"/>
    </w:rPr>
  </w:style>
  <w:style w:type="paragraph" w:styleId="9">
    <w:name w:val="Body Text Indent 2"/>
    <w:basedOn w:val="1"/>
    <w:link w:val="30"/>
    <w:qFormat/>
    <w:uiPriority w:val="0"/>
    <w:pPr>
      <w:adjustRightInd w:val="0"/>
      <w:snapToGrid w:val="0"/>
      <w:spacing w:beforeLines="50" w:beforeAutospacing="1" w:afterLines="50" w:afterAutospacing="1" w:line="480" w:lineRule="exact"/>
      <w:ind w:firstLine="600" w:firstLineChars="200"/>
    </w:pPr>
    <w:rPr>
      <w:rFonts w:eastAsia="仿宋_GB2312"/>
      <w:kern w:val="0"/>
      <w:sz w:val="30"/>
      <w:szCs w:val="20"/>
    </w:rPr>
  </w:style>
  <w:style w:type="paragraph" w:styleId="10">
    <w:name w:val="Balloon Text"/>
    <w:basedOn w:val="1"/>
    <w:link w:val="25"/>
    <w:semiHidden/>
    <w:unhideWhenUsed/>
    <w:qFormat/>
    <w:uiPriority w:val="99"/>
    <w:rPr>
      <w:sz w:val="18"/>
      <w:szCs w:val="18"/>
    </w:rPr>
  </w:style>
  <w:style w:type="paragraph" w:styleId="11">
    <w:name w:val="footer"/>
    <w:basedOn w:val="1"/>
    <w:link w:val="24"/>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Body Text 2"/>
    <w:basedOn w:val="1"/>
    <w:link w:val="33"/>
    <w:qFormat/>
    <w:uiPriority w:val="0"/>
    <w:rPr>
      <w:kern w:val="0"/>
      <w:sz w:val="32"/>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szCs w:val="32"/>
    </w:rPr>
  </w:style>
  <w:style w:type="paragraph" w:styleId="16">
    <w:name w:val="Title"/>
    <w:basedOn w:val="1"/>
    <w:next w:val="1"/>
    <w:link w:val="39"/>
    <w:qFormat/>
    <w:uiPriority w:val="0"/>
    <w:pPr>
      <w:spacing w:before="240" w:after="60"/>
      <w:jc w:val="center"/>
      <w:outlineLvl w:val="0"/>
    </w:pPr>
    <w:rPr>
      <w:rFonts w:ascii="Cambria" w:hAnsi="Cambria"/>
      <w:b/>
      <w:bCs/>
      <w:kern w:val="0"/>
      <w:sz w:val="32"/>
      <w:szCs w:val="32"/>
    </w:rPr>
  </w:style>
  <w:style w:type="table" w:styleId="18">
    <w:name w:val="Table Grid"/>
    <w:basedOn w:val="17"/>
    <w:qFormat/>
    <w:uiPriority w:val="59"/>
    <w:pPr>
      <w:widowControl w:val="0"/>
      <w:spacing w:line="240" w:lineRule="auto"/>
    </w:pPr>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qFormat/>
    <w:uiPriority w:val="0"/>
    <w:rPr>
      <w:b/>
    </w:rPr>
  </w:style>
  <w:style w:type="character" w:styleId="21">
    <w:name w:val="page number"/>
    <w:basedOn w:val="19"/>
    <w:qFormat/>
    <w:uiPriority w:val="0"/>
  </w:style>
  <w:style w:type="character" w:styleId="22">
    <w:name w:val="Hyperlink"/>
    <w:qFormat/>
    <w:uiPriority w:val="0"/>
    <w:rPr>
      <w:color w:val="0000FF"/>
      <w:u w:val="single"/>
    </w:rPr>
  </w:style>
  <w:style w:type="character" w:customStyle="1" w:styleId="23">
    <w:name w:val="页眉 Char"/>
    <w:basedOn w:val="19"/>
    <w:link w:val="12"/>
    <w:qFormat/>
    <w:uiPriority w:val="99"/>
    <w:rPr>
      <w:rFonts w:ascii="Times New Roman" w:hAnsi="Times New Roman" w:eastAsia="宋体"/>
      <w:sz w:val="18"/>
      <w:szCs w:val="18"/>
    </w:rPr>
  </w:style>
  <w:style w:type="character" w:customStyle="1" w:styleId="24">
    <w:name w:val="页脚 Char"/>
    <w:basedOn w:val="19"/>
    <w:link w:val="11"/>
    <w:qFormat/>
    <w:uiPriority w:val="99"/>
    <w:rPr>
      <w:rFonts w:ascii="Times New Roman" w:hAnsi="Times New Roman" w:eastAsia="宋体"/>
      <w:sz w:val="18"/>
      <w:szCs w:val="18"/>
    </w:rPr>
  </w:style>
  <w:style w:type="character" w:customStyle="1" w:styleId="25">
    <w:name w:val="批注框文本 Char"/>
    <w:basedOn w:val="19"/>
    <w:link w:val="10"/>
    <w:semiHidden/>
    <w:qFormat/>
    <w:uiPriority w:val="99"/>
    <w:rPr>
      <w:rFonts w:ascii="Times New Roman" w:hAnsi="Times New Roman" w:eastAsia="宋体"/>
      <w:sz w:val="18"/>
      <w:szCs w:val="18"/>
    </w:rPr>
  </w:style>
  <w:style w:type="character" w:customStyle="1" w:styleId="26">
    <w:name w:val="标题 1 Char"/>
    <w:basedOn w:val="19"/>
    <w:link w:val="2"/>
    <w:qFormat/>
    <w:uiPriority w:val="0"/>
    <w:rPr>
      <w:rFonts w:ascii="Times New Roman" w:hAnsi="Times New Roman" w:eastAsia="宋体"/>
      <w:b/>
      <w:bCs/>
      <w:kern w:val="44"/>
      <w:sz w:val="44"/>
      <w:szCs w:val="44"/>
    </w:rPr>
  </w:style>
  <w:style w:type="character" w:customStyle="1" w:styleId="27">
    <w:name w:val="日期 Char"/>
    <w:basedOn w:val="19"/>
    <w:link w:val="8"/>
    <w:qFormat/>
    <w:uiPriority w:val="0"/>
    <w:rPr>
      <w:rFonts w:eastAsia="宋体"/>
      <w:sz w:val="21"/>
    </w:rPr>
  </w:style>
  <w:style w:type="character" w:customStyle="1" w:styleId="28">
    <w:name w:val="正文文本缩进 Char"/>
    <w:basedOn w:val="19"/>
    <w:link w:val="6"/>
    <w:qFormat/>
    <w:uiPriority w:val="0"/>
    <w:rPr>
      <w:rFonts w:ascii="楷体_GB2312" w:hAnsi="Times New Roman" w:eastAsia="楷体_GB2312"/>
      <w:kern w:val="0"/>
      <w:szCs w:val="20"/>
    </w:rPr>
  </w:style>
  <w:style w:type="character" w:customStyle="1" w:styleId="29">
    <w:name w:val="纯文本 Char"/>
    <w:basedOn w:val="19"/>
    <w:link w:val="7"/>
    <w:qFormat/>
    <w:uiPriority w:val="0"/>
    <w:rPr>
      <w:rFonts w:ascii="宋体" w:hAnsi="Courier New" w:eastAsia="宋体"/>
      <w:kern w:val="0"/>
      <w:sz w:val="20"/>
      <w:szCs w:val="21"/>
    </w:rPr>
  </w:style>
  <w:style w:type="character" w:customStyle="1" w:styleId="30">
    <w:name w:val="正文文本缩进 2 Char"/>
    <w:basedOn w:val="19"/>
    <w:link w:val="9"/>
    <w:qFormat/>
    <w:uiPriority w:val="0"/>
    <w:rPr>
      <w:rFonts w:ascii="Times New Roman" w:hAnsi="Times New Roman"/>
      <w:kern w:val="0"/>
      <w:sz w:val="30"/>
      <w:szCs w:val="20"/>
    </w:rPr>
  </w:style>
  <w:style w:type="character" w:customStyle="1" w:styleId="31">
    <w:name w:val="正文文本 Char"/>
    <w:basedOn w:val="19"/>
    <w:link w:val="5"/>
    <w:qFormat/>
    <w:uiPriority w:val="0"/>
    <w:rPr>
      <w:rFonts w:ascii="仿宋_GB2312" w:hAnsi="华文中宋"/>
      <w:color w:val="000000"/>
      <w:kern w:val="0"/>
      <w:szCs w:val="20"/>
    </w:rPr>
  </w:style>
  <w:style w:type="character" w:customStyle="1" w:styleId="32">
    <w:name w:val="正文文本 3 Char"/>
    <w:basedOn w:val="19"/>
    <w:link w:val="4"/>
    <w:qFormat/>
    <w:uiPriority w:val="0"/>
    <w:rPr>
      <w:rFonts w:ascii="仿宋_GB2312" w:hAnsi="Times New Roman"/>
      <w:kern w:val="0"/>
      <w:sz w:val="30"/>
      <w:szCs w:val="20"/>
    </w:rPr>
  </w:style>
  <w:style w:type="character" w:customStyle="1" w:styleId="33">
    <w:name w:val="正文文本 2 Char"/>
    <w:basedOn w:val="19"/>
    <w:link w:val="14"/>
    <w:qFormat/>
    <w:uiPriority w:val="0"/>
    <w:rPr>
      <w:rFonts w:ascii="Times New Roman" w:hAnsi="Times New Roman" w:eastAsia="宋体"/>
      <w:kern w:val="0"/>
      <w:szCs w:val="24"/>
    </w:rPr>
  </w:style>
  <w:style w:type="paragraph" w:customStyle="1" w:styleId="34">
    <w:name w:val="节标题"/>
    <w:basedOn w:val="1"/>
    <w:next w:val="1"/>
    <w:qFormat/>
    <w:uiPriority w:val="0"/>
    <w:pPr>
      <w:widowControl/>
      <w:spacing w:line="289" w:lineRule="atLeast"/>
      <w:jc w:val="center"/>
    </w:pPr>
    <w:rPr>
      <w:rFonts w:ascii="仿宋_GB2312"/>
      <w:color w:val="000000"/>
      <w:kern w:val="0"/>
      <w:sz w:val="28"/>
      <w:szCs w:val="32"/>
      <w:u w:color="000000"/>
    </w:rPr>
  </w:style>
  <w:style w:type="paragraph" w:customStyle="1" w:styleId="35">
    <w:name w:val="章标题"/>
    <w:basedOn w:val="1"/>
    <w:next w:val="34"/>
    <w:qFormat/>
    <w:uiPriority w:val="0"/>
    <w:pPr>
      <w:widowControl/>
      <w:spacing w:before="158" w:after="153" w:line="323" w:lineRule="atLeast"/>
      <w:jc w:val="center"/>
    </w:pPr>
    <w:rPr>
      <w:rFonts w:ascii="Arial" w:eastAsia="黑体"/>
      <w:color w:val="000000"/>
      <w:kern w:val="0"/>
      <w:sz w:val="31"/>
      <w:szCs w:val="32"/>
      <w:u w:color="000000"/>
    </w:rPr>
  </w:style>
  <w:style w:type="paragraph" w:customStyle="1" w:styleId="36">
    <w:name w:val="文章附标题"/>
    <w:basedOn w:val="1"/>
    <w:next w:val="35"/>
    <w:qFormat/>
    <w:uiPriority w:val="0"/>
    <w:pPr>
      <w:widowControl/>
      <w:spacing w:before="187" w:after="175" w:line="374" w:lineRule="atLeast"/>
      <w:jc w:val="center"/>
    </w:pPr>
    <w:rPr>
      <w:rFonts w:ascii="仿宋_GB2312"/>
      <w:color w:val="000000"/>
      <w:kern w:val="0"/>
      <w:sz w:val="36"/>
      <w:szCs w:val="32"/>
      <w:u w:color="000000"/>
    </w:rPr>
  </w:style>
  <w:style w:type="character" w:customStyle="1" w:styleId="37">
    <w:name w:val="Char Char1"/>
    <w:qFormat/>
    <w:locked/>
    <w:uiPriority w:val="0"/>
    <w:rPr>
      <w:rFonts w:ascii="仿宋_GB2312" w:eastAsia="宋体"/>
      <w:kern w:val="2"/>
      <w:sz w:val="21"/>
      <w:szCs w:val="32"/>
      <w:lang w:val="en-US" w:eastAsia="zh-CN" w:bidi="ar-SA"/>
    </w:rPr>
  </w:style>
  <w:style w:type="character" w:customStyle="1" w:styleId="38">
    <w:name w:val="Char Char"/>
    <w:qFormat/>
    <w:uiPriority w:val="0"/>
    <w:rPr>
      <w:rFonts w:ascii="仿宋_GB2312" w:eastAsia="宋体"/>
      <w:kern w:val="2"/>
      <w:sz w:val="21"/>
      <w:szCs w:val="32"/>
      <w:lang w:val="en-US" w:eastAsia="zh-CN" w:bidi="ar-SA"/>
    </w:rPr>
  </w:style>
  <w:style w:type="character" w:customStyle="1" w:styleId="39">
    <w:name w:val="标题 Char"/>
    <w:basedOn w:val="19"/>
    <w:link w:val="16"/>
    <w:qFormat/>
    <w:uiPriority w:val="0"/>
    <w:rPr>
      <w:rFonts w:ascii="Cambria" w:hAnsi="Cambria" w:eastAsia="宋体"/>
      <w:b/>
      <w:bCs/>
      <w:kern w:val="0"/>
      <w:szCs w:val="32"/>
    </w:rPr>
  </w:style>
  <w:style w:type="character" w:customStyle="1" w:styleId="40">
    <w:name w:val="Char Char11"/>
    <w:qFormat/>
    <w:locked/>
    <w:uiPriority w:val="0"/>
    <w:rPr>
      <w:rFonts w:ascii="仿宋_GB2312" w:eastAsia="仿宋_GB2312"/>
      <w:kern w:val="2"/>
      <w:sz w:val="32"/>
      <w:szCs w:val="32"/>
      <w:lang w:val="en-US" w:eastAsia="zh-CN" w:bidi="ar-SA"/>
    </w:rPr>
  </w:style>
  <w:style w:type="character" w:customStyle="1" w:styleId="41">
    <w:name w:val="样式 四号 左侧:  0 厘米 Char"/>
    <w:qFormat/>
    <w:locked/>
    <w:uiPriority w:val="0"/>
    <w:rPr>
      <w:rFonts w:hint="eastAsia" w:ascii="宋体" w:hAnsi="宋体" w:eastAsia="宋体" w:cs="宋体"/>
      <w:kern w:val="2"/>
      <w:sz w:val="28"/>
      <w:lang w:val="en-US" w:eastAsia="zh-CN" w:bidi="ar-SA"/>
    </w:rPr>
  </w:style>
  <w:style w:type="paragraph" w:styleId="42">
    <w:name w:val="List Paragraph"/>
    <w:basedOn w:val="1"/>
    <w:qFormat/>
    <w:uiPriority w:val="34"/>
    <w:pPr>
      <w:ind w:firstLine="420" w:firstLineChars="200"/>
    </w:pPr>
    <w:rPr>
      <w:rFonts w:ascii="Calibri" w:hAnsi="Calibri"/>
      <w:szCs w:val="22"/>
    </w:rPr>
  </w:style>
  <w:style w:type="character" w:customStyle="1" w:styleId="43">
    <w:name w:val="Char Char2"/>
    <w:qFormat/>
    <w:locked/>
    <w:uiPriority w:val="0"/>
    <w:rPr>
      <w:rFonts w:ascii="仿宋_GB2312" w:eastAsia="宋体"/>
      <w:kern w:val="2"/>
      <w:sz w:val="21"/>
      <w:szCs w:val="32"/>
      <w:lang w:val="en-US" w:eastAsia="zh-CN" w:bidi="ar-SA"/>
    </w:rPr>
  </w:style>
  <w:style w:type="paragraph" w:customStyle="1" w:styleId="44">
    <w:name w:val="paragraph"/>
    <w:basedOn w:val="1"/>
    <w:qFormat/>
    <w:uiPriority w:val="0"/>
    <w:pPr>
      <w:widowControl/>
      <w:spacing w:before="100" w:beforeAutospacing="1" w:after="100" w:afterAutospacing="1"/>
      <w:jc w:val="left"/>
    </w:pPr>
    <w:rPr>
      <w:rFonts w:ascii="宋体" w:hAnsi="宋体" w:cs="宋体"/>
      <w:kern w:val="0"/>
      <w:sz w:val="24"/>
    </w:rPr>
  </w:style>
  <w:style w:type="table" w:customStyle="1" w:styleId="45">
    <w:name w:val="网格型1"/>
    <w:basedOn w:val="17"/>
    <w:qFormat/>
    <w:uiPriority w:val="59"/>
    <w:pPr>
      <w:widowControl w:val="0"/>
      <w:spacing w:line="240" w:lineRule="auto"/>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6">
    <w:name w:val="网格型2"/>
    <w:basedOn w:val="17"/>
    <w:qFormat/>
    <w:uiPriority w:val="59"/>
    <w:pPr>
      <w:widowControl w:val="0"/>
      <w:spacing w:line="240" w:lineRule="auto"/>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7">
    <w:name w:val="标题1"/>
    <w:basedOn w:val="1"/>
    <w:next w:val="1"/>
    <w:qFormat/>
    <w:uiPriority w:val="0"/>
    <w:pPr>
      <w:tabs>
        <w:tab w:val="left" w:pos="9193"/>
        <w:tab w:val="left" w:pos="9827"/>
      </w:tabs>
      <w:autoSpaceDE w:val="0"/>
      <w:autoSpaceDN w:val="0"/>
      <w:snapToGrid w:val="0"/>
      <w:spacing w:line="700" w:lineRule="atLeast"/>
      <w:jc w:val="center"/>
    </w:pPr>
    <w:rPr>
      <w:rFonts w:ascii="Calibri" w:hAnsi="Calibri" w:eastAsia="方正小标宋_GBK"/>
      <w:snapToGrid w:val="0"/>
      <w:kern w:val="0"/>
      <w:sz w:val="44"/>
      <w:szCs w:val="20"/>
    </w:rPr>
  </w:style>
  <w:style w:type="paragraph" w:styleId="48">
    <w:name w:val="No Spacing"/>
    <w:qFormat/>
    <w:uiPriority w:val="1"/>
    <w:pPr>
      <w:widowControl w:val="0"/>
      <w:spacing w:line="560" w:lineRule="exact"/>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6083</Words>
  <Characters>6274</Characters>
  <Lines>120</Lines>
  <Paragraphs>33</Paragraphs>
  <TotalTime>37</TotalTime>
  <ScaleCrop>false</ScaleCrop>
  <LinksUpToDate>false</LinksUpToDate>
  <CharactersWithSpaces>6311</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2021-08-12T09:32:00Z</dcterms:created>
  <dc:creator>NTKO</dc:creator>
  <cp:lastModifiedBy>墨钺</cp:lastModifiedBy>
  <cp:lastPrinted>2026-06-29T14:36:00Z</cp:lastPrinted>
  <dcterms:modified xsi:type="dcterms:W3CDTF">2026-07-02T11:05:30Z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FD227EC174BBB07B7AD5456A42A19620_43</vt:lpwstr>
  </property>
  <property fmtid="{D5CDD505-2E9C-101B-9397-08002B2CF9AE}" pid="4" name="KSOTemplateDocerSaveRecord">
    <vt:lpwstr>eyJoZGlkIjoiMDkwNTQ4MDI3MmJmZDZkOGI1ZWY5MjcyYmFhODU4NjkiLCJ1c2VySWQiOiIyMzMyMTIzMjkifQ==</vt:lpwstr>
  </property>
</Properties>
</file>